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4.xml" ContentType="application/vnd.openxmlformats-officedocument.wordprocessingml.footer+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EB655B" w14:textId="77777777" w:rsidR="00B84152" w:rsidRDefault="00B84152" w:rsidP="00B34D0A">
      <w:pPr>
        <w:pStyle w:val="Caption"/>
        <w:jc w:val="center"/>
        <w:rPr>
          <w:b w:val="0"/>
          <w:bCs w:val="0"/>
          <w:color w:val="FF0000"/>
        </w:rPr>
      </w:pPr>
    </w:p>
    <w:p w14:paraId="1071BB0F" w14:textId="77777777" w:rsidR="00B84152" w:rsidRDefault="00B84152" w:rsidP="00B34D0A">
      <w:pPr>
        <w:pStyle w:val="Caption"/>
        <w:jc w:val="center"/>
        <w:rPr>
          <w:b w:val="0"/>
          <w:bCs w:val="0"/>
          <w:color w:val="FF0000"/>
        </w:rPr>
      </w:pPr>
    </w:p>
    <w:p w14:paraId="106BAA2A" w14:textId="77777777" w:rsidR="00B84152" w:rsidRDefault="00B84152" w:rsidP="00B34D0A">
      <w:pPr>
        <w:pStyle w:val="Caption"/>
        <w:jc w:val="center"/>
        <w:rPr>
          <w:b w:val="0"/>
          <w:bCs w:val="0"/>
          <w:color w:val="FF0000"/>
        </w:rPr>
      </w:pPr>
    </w:p>
    <w:p w14:paraId="7B492CE5" w14:textId="77777777" w:rsidR="00B84152" w:rsidRDefault="00B84152" w:rsidP="00B34D0A">
      <w:pPr>
        <w:pStyle w:val="Caption"/>
        <w:jc w:val="center"/>
        <w:rPr>
          <w:b w:val="0"/>
          <w:bCs w:val="0"/>
          <w:color w:val="FF0000"/>
        </w:rPr>
      </w:pPr>
    </w:p>
    <w:p w14:paraId="35E57CA1" w14:textId="0D6BCAA1" w:rsidR="00B34D0A" w:rsidRPr="00B717F0" w:rsidRDefault="00B84152" w:rsidP="00B34D0A">
      <w:pPr>
        <w:pStyle w:val="Caption"/>
        <w:jc w:val="center"/>
        <w:rPr>
          <w:b w:val="0"/>
          <w:bCs w:val="0"/>
          <w:color w:val="FF0000"/>
        </w:rPr>
      </w:pPr>
      <w:r>
        <w:rPr>
          <w:noProof/>
          <w:color w:val="FF0000"/>
          <w:lang w:eastAsia="en-GB"/>
        </w:rPr>
        <w:drawing>
          <wp:inline distT="0" distB="0" distL="0" distR="0" wp14:anchorId="78D5020F" wp14:editId="4B14B696">
            <wp:extent cx="4231005" cy="1207135"/>
            <wp:effectExtent l="0" t="0" r="0" b="0"/>
            <wp:docPr id="1674144757"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44757" name="Picture 1" descr="A close-up of a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005" cy="1207135"/>
                    </a:xfrm>
                    <a:prstGeom prst="rect">
                      <a:avLst/>
                    </a:prstGeom>
                    <a:noFill/>
                  </pic:spPr>
                </pic:pic>
              </a:graphicData>
            </a:graphic>
          </wp:inline>
        </w:drawing>
      </w:r>
      <w:r w:rsidR="00391D23">
        <w:rPr>
          <w:b w:val="0"/>
          <w:bCs w:val="0"/>
          <w:color w:val="FF0000"/>
        </w:rPr>
        <w:tab/>
      </w:r>
    </w:p>
    <w:p w14:paraId="1D762B5E" w14:textId="0EC39168" w:rsidR="00C44D7E" w:rsidRDefault="00C44D7E" w:rsidP="4D6AC012">
      <w:pPr>
        <w:pStyle w:val="Header"/>
        <w:tabs>
          <w:tab w:val="clear" w:pos="9072"/>
          <w:tab w:val="center" w:pos="4153"/>
          <w:tab w:val="right" w:pos="8306"/>
        </w:tabs>
        <w:rPr>
          <w:color w:val="006726"/>
          <w:kern w:val="72"/>
          <w:sz w:val="48"/>
          <w:szCs w:val="48"/>
        </w:rPr>
      </w:pPr>
      <w:r>
        <w:rPr>
          <w:color w:val="006726"/>
          <w:kern w:val="72"/>
          <w:sz w:val="48"/>
          <w:szCs w:val="48"/>
        </w:rPr>
        <w:t>Newcastle City Council</w:t>
      </w:r>
    </w:p>
    <w:p w14:paraId="3813978B" w14:textId="4E3D370F" w:rsidR="00A63313" w:rsidRPr="0021416E" w:rsidRDefault="00092C52" w:rsidP="4D6AC012">
      <w:pPr>
        <w:pStyle w:val="Header"/>
        <w:tabs>
          <w:tab w:val="clear" w:pos="9072"/>
          <w:tab w:val="center" w:pos="4153"/>
          <w:tab w:val="right" w:pos="8306"/>
        </w:tabs>
        <w:rPr>
          <w:color w:val="006726"/>
          <w:kern w:val="72"/>
          <w:sz w:val="48"/>
          <w:szCs w:val="48"/>
        </w:rPr>
      </w:pPr>
      <w:r w:rsidRPr="0021416E">
        <w:rPr>
          <w:color w:val="006726"/>
          <w:kern w:val="72"/>
          <w:sz w:val="48"/>
          <w:szCs w:val="48"/>
        </w:rPr>
        <w:t>Air Quality Action Plan</w:t>
      </w:r>
    </w:p>
    <w:p w14:paraId="78CB69F3" w14:textId="00583CC0" w:rsidR="00B717F0" w:rsidRPr="00664F03" w:rsidRDefault="00A63313" w:rsidP="4D6AC012">
      <w:pPr>
        <w:pStyle w:val="Header"/>
        <w:tabs>
          <w:tab w:val="clear" w:pos="9072"/>
          <w:tab w:val="center" w:pos="4153"/>
          <w:tab w:val="right" w:pos="8306"/>
        </w:tabs>
        <w:rPr>
          <w:color w:val="006726"/>
          <w:kern w:val="72"/>
          <w:sz w:val="36"/>
          <w:szCs w:val="36"/>
        </w:rPr>
      </w:pPr>
      <w:r w:rsidRPr="0021416E">
        <w:rPr>
          <w:color w:val="006726"/>
          <w:kern w:val="72"/>
          <w:sz w:val="36"/>
          <w:szCs w:val="36"/>
        </w:rPr>
        <w:t xml:space="preserve">In </w:t>
      </w:r>
      <w:r w:rsidR="001420D6" w:rsidRPr="0021416E">
        <w:rPr>
          <w:color w:val="006726"/>
          <w:kern w:val="72"/>
          <w:sz w:val="36"/>
          <w:szCs w:val="36"/>
        </w:rPr>
        <w:t>fulfilment</w:t>
      </w:r>
      <w:r w:rsidRPr="0021416E">
        <w:rPr>
          <w:color w:val="006726"/>
          <w:kern w:val="72"/>
          <w:sz w:val="36"/>
          <w:szCs w:val="36"/>
        </w:rPr>
        <w:t xml:space="preserve"> of Part IV of the</w:t>
      </w:r>
      <w:r w:rsidR="00B717F0" w:rsidRPr="0021416E">
        <w:rPr>
          <w:color w:val="006726"/>
          <w:kern w:val="72"/>
          <w:sz w:val="36"/>
          <w:szCs w:val="36"/>
        </w:rPr>
        <w:t xml:space="preserve"> </w:t>
      </w:r>
      <w:r w:rsidRPr="0021416E">
        <w:rPr>
          <w:color w:val="006726"/>
          <w:kern w:val="72"/>
          <w:sz w:val="36"/>
          <w:szCs w:val="36"/>
        </w:rPr>
        <w:t>Environment Act 1995</w:t>
      </w:r>
      <w:r w:rsidR="001F11FC" w:rsidRPr="0021416E">
        <w:rPr>
          <w:color w:val="006726"/>
          <w:kern w:val="72"/>
          <w:sz w:val="36"/>
          <w:szCs w:val="36"/>
        </w:rPr>
        <w:t xml:space="preserve">, as </w:t>
      </w:r>
      <w:r w:rsidR="001F11FC" w:rsidRPr="00664F03">
        <w:rPr>
          <w:color w:val="006726"/>
          <w:kern w:val="72"/>
          <w:sz w:val="36"/>
          <w:szCs w:val="36"/>
        </w:rPr>
        <w:t>amended by the Environment Act 2021</w:t>
      </w:r>
    </w:p>
    <w:p w14:paraId="46957837" w14:textId="2D1A72A8" w:rsidR="00A63313" w:rsidRPr="00664F03" w:rsidRDefault="00A63313" w:rsidP="4D6AC012">
      <w:pPr>
        <w:pStyle w:val="Header"/>
        <w:tabs>
          <w:tab w:val="clear" w:pos="9072"/>
          <w:tab w:val="center" w:pos="4153"/>
          <w:tab w:val="right" w:pos="8306"/>
        </w:tabs>
        <w:rPr>
          <w:color w:val="006726"/>
          <w:kern w:val="72"/>
          <w:sz w:val="36"/>
          <w:szCs w:val="36"/>
        </w:rPr>
      </w:pPr>
      <w:r w:rsidRPr="00664F03">
        <w:rPr>
          <w:color w:val="006726"/>
          <w:kern w:val="72"/>
          <w:sz w:val="36"/>
          <w:szCs w:val="36"/>
        </w:rPr>
        <w:t>Local Air Quality Management</w:t>
      </w:r>
    </w:p>
    <w:p w14:paraId="6177C157" w14:textId="42A57BD6" w:rsidR="00B34D0A" w:rsidRPr="00664F03" w:rsidRDefault="00616A21" w:rsidP="00B34D0A">
      <w:pPr>
        <w:pStyle w:val="Header"/>
        <w:tabs>
          <w:tab w:val="clear" w:pos="9072"/>
          <w:tab w:val="center" w:pos="4153"/>
          <w:tab w:val="right" w:pos="8306"/>
        </w:tabs>
        <w:rPr>
          <w:color w:val="006726"/>
          <w:kern w:val="72"/>
          <w:sz w:val="36"/>
          <w:szCs w:val="72"/>
        </w:rPr>
      </w:pPr>
      <w:r>
        <w:rPr>
          <w:color w:val="006726"/>
          <w:kern w:val="72"/>
          <w:sz w:val="36"/>
          <w:szCs w:val="72"/>
        </w:rPr>
        <w:t>2026 to 2030</w:t>
      </w:r>
    </w:p>
    <w:p w14:paraId="142A5FE0" w14:textId="77777777" w:rsidR="00A556EF" w:rsidRDefault="00A63313" w:rsidP="0046508E">
      <w:r w:rsidRPr="00E3664B">
        <w:br w:type="page"/>
      </w:r>
    </w:p>
    <w:tbl>
      <w:tblPr>
        <w:tblStyle w:val="LAQMReporting"/>
        <w:tblW w:w="0" w:type="auto"/>
        <w:tblLook w:val="04A0" w:firstRow="1" w:lastRow="0" w:firstColumn="1" w:lastColumn="0" w:noHBand="0" w:noVBand="1"/>
      </w:tblPr>
      <w:tblGrid>
        <w:gridCol w:w="4541"/>
        <w:gridCol w:w="4519"/>
      </w:tblGrid>
      <w:tr w:rsidR="00B34D0A" w:rsidRPr="00116356" w14:paraId="6847B388" w14:textId="77777777" w:rsidTr="4D6AC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41" w:type="dxa"/>
          </w:tcPr>
          <w:p w14:paraId="38ACC0A9" w14:textId="77777777" w:rsidR="00B34D0A" w:rsidRPr="00D877E3" w:rsidRDefault="00B34D0A" w:rsidP="00B34D0A">
            <w:pPr>
              <w:spacing w:line="240" w:lineRule="auto"/>
              <w:rPr>
                <w:bCs/>
                <w:sz w:val="28"/>
              </w:rPr>
            </w:pPr>
            <w:r w:rsidRPr="00D877E3">
              <w:rPr>
                <w:bCs/>
                <w:sz w:val="28"/>
              </w:rPr>
              <w:lastRenderedPageBreak/>
              <w:t>Information</w:t>
            </w:r>
          </w:p>
        </w:tc>
        <w:tc>
          <w:tcPr>
            <w:tcW w:w="4519" w:type="dxa"/>
            <w:vAlign w:val="top"/>
          </w:tcPr>
          <w:p w14:paraId="5667D448" w14:textId="6570AE07" w:rsidR="00B34D0A" w:rsidRPr="00D877E3" w:rsidRDefault="00B84152" w:rsidP="4D6AC012">
            <w:pPr>
              <w:spacing w:line="240" w:lineRule="auto"/>
              <w:cnfStyle w:val="100000000000" w:firstRow="1" w:lastRow="0" w:firstColumn="0" w:lastColumn="0" w:oddVBand="0" w:evenVBand="0" w:oddHBand="0" w:evenHBand="0" w:firstRowFirstColumn="0" w:firstRowLastColumn="0" w:lastRowFirstColumn="0" w:lastRowLastColumn="0"/>
              <w:rPr>
                <w:rFonts w:cs="Arial"/>
                <w:sz w:val="28"/>
                <w:szCs w:val="28"/>
              </w:rPr>
            </w:pPr>
            <w:r>
              <w:rPr>
                <w:color w:val="FFFFFF" w:themeColor="background1"/>
              </w:rPr>
              <w:t>Newcastle City Council</w:t>
            </w:r>
            <w:r w:rsidR="00B34D0A" w:rsidRPr="0021416E">
              <w:rPr>
                <w:color w:val="FFFFFF" w:themeColor="background1"/>
              </w:rPr>
              <w:t xml:space="preserve"> </w:t>
            </w:r>
            <w:r w:rsidR="00B34D0A">
              <w:t>Details</w:t>
            </w:r>
          </w:p>
        </w:tc>
      </w:tr>
      <w:tr w:rsidR="00B34D0A" w:rsidRPr="00116356" w14:paraId="41E7FACF"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21BF5F65" w14:textId="77777777" w:rsidR="00B34D0A" w:rsidRPr="00CE2D05" w:rsidRDefault="00B34D0A" w:rsidP="00B34D0A">
            <w:pPr>
              <w:spacing w:line="240" w:lineRule="auto"/>
              <w:rPr>
                <w:b/>
                <w:bCs/>
                <w:u w:color="FFFFFF"/>
              </w:rPr>
            </w:pPr>
            <w:r w:rsidRPr="00CE2D05">
              <w:rPr>
                <w:b/>
                <w:bCs/>
              </w:rPr>
              <w:t>Local Authority Officer</w:t>
            </w:r>
          </w:p>
        </w:tc>
        <w:tc>
          <w:tcPr>
            <w:tcW w:w="4519" w:type="dxa"/>
            <w:vAlign w:val="top"/>
          </w:tcPr>
          <w:p w14:paraId="45BB6A40" w14:textId="0F66F21B" w:rsidR="00B34D0A" w:rsidRPr="00B84152" w:rsidRDefault="00110E8B"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84152">
              <w:t>Environmental Protection</w:t>
            </w:r>
          </w:p>
        </w:tc>
      </w:tr>
      <w:tr w:rsidR="00B34D0A" w:rsidRPr="00116356" w14:paraId="194837F0"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7B8D9DB4" w14:textId="77777777" w:rsidR="00B34D0A" w:rsidRPr="00CE2D05" w:rsidRDefault="00B34D0A" w:rsidP="00B34D0A">
            <w:pPr>
              <w:spacing w:line="240" w:lineRule="auto"/>
              <w:rPr>
                <w:b/>
                <w:u w:color="FFFFFF"/>
              </w:rPr>
            </w:pPr>
            <w:r w:rsidRPr="00CE2D05">
              <w:rPr>
                <w:b/>
                <w:u w:color="FFFFFF"/>
              </w:rPr>
              <w:t>Department</w:t>
            </w:r>
          </w:p>
        </w:tc>
        <w:tc>
          <w:tcPr>
            <w:tcW w:w="4519" w:type="dxa"/>
            <w:vAlign w:val="top"/>
          </w:tcPr>
          <w:p w14:paraId="02E7FFAD" w14:textId="14C59305" w:rsidR="00B34D0A" w:rsidRPr="00B84152" w:rsidRDefault="00B84152"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84152">
              <w:t>Public Safety and Regulation</w:t>
            </w:r>
          </w:p>
        </w:tc>
      </w:tr>
      <w:tr w:rsidR="00B34D0A" w:rsidRPr="00116356" w14:paraId="38BB3DB3"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0296AC7D" w14:textId="77777777" w:rsidR="00B34D0A" w:rsidRPr="00CE2D05" w:rsidRDefault="00B34D0A" w:rsidP="00B34D0A">
            <w:pPr>
              <w:spacing w:line="240" w:lineRule="auto"/>
              <w:rPr>
                <w:b/>
                <w:u w:color="FFFFFF"/>
              </w:rPr>
            </w:pPr>
            <w:r w:rsidRPr="00CE2D05">
              <w:rPr>
                <w:b/>
                <w:u w:color="FFFFFF"/>
              </w:rPr>
              <w:t>Address</w:t>
            </w:r>
          </w:p>
        </w:tc>
        <w:tc>
          <w:tcPr>
            <w:tcW w:w="4519" w:type="dxa"/>
            <w:vAlign w:val="top"/>
          </w:tcPr>
          <w:p w14:paraId="2B6E13D8" w14:textId="77777777" w:rsidR="00B84152"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443C5">
              <w:rPr>
                <w:rFonts w:cs="Arial"/>
              </w:rPr>
              <w:t>Newcastle City Council,</w:t>
            </w:r>
          </w:p>
          <w:p w14:paraId="38FC03BC" w14:textId="77777777" w:rsidR="00B84152"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443C5">
              <w:rPr>
                <w:rFonts w:cs="Arial"/>
              </w:rPr>
              <w:t xml:space="preserve"> 7th Floor, Civic Centre, </w:t>
            </w:r>
          </w:p>
          <w:p w14:paraId="37281AF7" w14:textId="77777777" w:rsidR="00B84152"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D443C5">
              <w:rPr>
                <w:rFonts w:cs="Arial"/>
              </w:rPr>
              <w:t>Newcastle upon Tyne</w:t>
            </w:r>
          </w:p>
          <w:p w14:paraId="6963E7A9" w14:textId="189F3D24" w:rsidR="00B34D0A" w:rsidRPr="00B34D0A"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D443C5">
              <w:rPr>
                <w:rFonts w:cs="Arial"/>
              </w:rPr>
              <w:t xml:space="preserve"> NE1 8QH</w:t>
            </w:r>
          </w:p>
        </w:tc>
      </w:tr>
      <w:tr w:rsidR="00B84152" w:rsidRPr="00116356" w14:paraId="15B53698"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023ADDD0" w14:textId="77777777" w:rsidR="00B84152" w:rsidRPr="00CE2D05" w:rsidRDefault="00B84152" w:rsidP="00B84152">
            <w:pPr>
              <w:spacing w:line="240" w:lineRule="auto"/>
              <w:rPr>
                <w:b/>
                <w:u w:color="FFFFFF"/>
              </w:rPr>
            </w:pPr>
            <w:r w:rsidRPr="00CE2D05">
              <w:rPr>
                <w:b/>
                <w:u w:color="FFFFFF"/>
              </w:rPr>
              <w:t>Telephone</w:t>
            </w:r>
          </w:p>
        </w:tc>
        <w:tc>
          <w:tcPr>
            <w:tcW w:w="4519" w:type="dxa"/>
            <w:vAlign w:val="top"/>
          </w:tcPr>
          <w:p w14:paraId="275C299D" w14:textId="05AAB858" w:rsidR="00B84152" w:rsidRPr="00B34D0A"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D443C5">
              <w:t>0191 2116102</w:t>
            </w:r>
          </w:p>
        </w:tc>
      </w:tr>
      <w:tr w:rsidR="00B84152" w:rsidRPr="00116356" w14:paraId="168FAC0C"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63FC256E" w14:textId="77777777" w:rsidR="00B84152" w:rsidRPr="00CE2D05" w:rsidRDefault="00B84152" w:rsidP="00B84152">
            <w:pPr>
              <w:spacing w:line="240" w:lineRule="auto"/>
              <w:rPr>
                <w:b/>
                <w:u w:color="FFFFFF"/>
              </w:rPr>
            </w:pPr>
            <w:r w:rsidRPr="00CE2D05">
              <w:rPr>
                <w:b/>
                <w:u w:color="FFFFFF"/>
              </w:rPr>
              <w:t>E-mail</w:t>
            </w:r>
          </w:p>
        </w:tc>
        <w:tc>
          <w:tcPr>
            <w:tcW w:w="4519" w:type="dxa"/>
            <w:vAlign w:val="top"/>
          </w:tcPr>
          <w:p w14:paraId="5B34E059" w14:textId="12C5F74F" w:rsidR="00B84152" w:rsidRPr="00B34D0A" w:rsidRDefault="00B84152" w:rsidP="00B84152">
            <w:pPr>
              <w:spacing w:line="240" w:lineRule="auto"/>
              <w:cnfStyle w:val="000000000000" w:firstRow="0" w:lastRow="0" w:firstColumn="0" w:lastColumn="0" w:oddVBand="0" w:evenVBand="0" w:oddHBand="0" w:evenHBand="0" w:firstRowFirstColumn="0" w:firstRowLastColumn="0" w:lastRowFirstColumn="0" w:lastRowLastColumn="0"/>
              <w:rPr>
                <w:rFonts w:cs="Arial"/>
                <w:color w:val="FF0000"/>
              </w:rPr>
            </w:pPr>
            <w:r w:rsidRPr="00D443C5">
              <w:t>psr@newcastle.gov.uk</w:t>
            </w:r>
          </w:p>
        </w:tc>
      </w:tr>
      <w:tr w:rsidR="00B34D0A" w:rsidRPr="00116356" w14:paraId="1EC5F7E4"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20C8098D" w14:textId="77777777" w:rsidR="00B34D0A" w:rsidRPr="00CE2D05" w:rsidRDefault="00B34D0A" w:rsidP="00B34D0A">
            <w:pPr>
              <w:spacing w:line="240" w:lineRule="auto"/>
              <w:rPr>
                <w:b/>
                <w:u w:color="FFFFFF"/>
              </w:rPr>
            </w:pPr>
            <w:r w:rsidRPr="00CE2D05">
              <w:rPr>
                <w:b/>
                <w:u w:color="FFFFFF"/>
              </w:rPr>
              <w:t>Report Reference Number</w:t>
            </w:r>
          </w:p>
        </w:tc>
        <w:tc>
          <w:tcPr>
            <w:tcW w:w="4519" w:type="dxa"/>
            <w:vAlign w:val="top"/>
          </w:tcPr>
          <w:p w14:paraId="35231AC0" w14:textId="1ACA820B" w:rsidR="00B34D0A" w:rsidRPr="00B84152" w:rsidRDefault="00B84152"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B84152">
              <w:t>NCC</w:t>
            </w:r>
            <w:r w:rsidR="00616A21">
              <w:t xml:space="preserve"> </w:t>
            </w:r>
            <w:r w:rsidRPr="00B84152">
              <w:t>AQAP 202</w:t>
            </w:r>
            <w:r w:rsidR="00616A21">
              <w:t>6 to 2030</w:t>
            </w:r>
          </w:p>
        </w:tc>
      </w:tr>
      <w:tr w:rsidR="00B34D0A" w:rsidRPr="00116356" w14:paraId="55FF1600" w14:textId="77777777" w:rsidTr="4D6AC012">
        <w:tc>
          <w:tcPr>
            <w:cnfStyle w:val="001000000000" w:firstRow="0" w:lastRow="0" w:firstColumn="1" w:lastColumn="0" w:oddVBand="0" w:evenVBand="0" w:oddHBand="0" w:evenHBand="0" w:firstRowFirstColumn="0" w:firstRowLastColumn="0" w:lastRowFirstColumn="0" w:lastRowLastColumn="0"/>
            <w:tcW w:w="4541" w:type="dxa"/>
          </w:tcPr>
          <w:p w14:paraId="2BC3ABE3" w14:textId="77777777" w:rsidR="00B34D0A" w:rsidRPr="00CE2D05" w:rsidRDefault="00B34D0A" w:rsidP="00B34D0A">
            <w:pPr>
              <w:spacing w:line="240" w:lineRule="auto"/>
              <w:rPr>
                <w:b/>
                <w:u w:color="FFFFFF"/>
              </w:rPr>
            </w:pPr>
            <w:r w:rsidRPr="00CE2D05">
              <w:rPr>
                <w:b/>
                <w:u w:color="FFFFFF"/>
              </w:rPr>
              <w:t>Date</w:t>
            </w:r>
          </w:p>
        </w:tc>
        <w:tc>
          <w:tcPr>
            <w:tcW w:w="4519" w:type="dxa"/>
            <w:vAlign w:val="top"/>
          </w:tcPr>
          <w:p w14:paraId="0CA5F6F0" w14:textId="4E1423AB" w:rsidR="00B34D0A" w:rsidRPr="00B84152" w:rsidRDefault="00616A21" w:rsidP="00B34D0A">
            <w:pPr>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February 2026</w:t>
            </w:r>
          </w:p>
        </w:tc>
      </w:tr>
    </w:tbl>
    <w:p w14:paraId="098958D5" w14:textId="77777777" w:rsidR="00A556EF" w:rsidRPr="00E3664B" w:rsidRDefault="00A556EF" w:rsidP="0046508E"/>
    <w:p w14:paraId="63E8E799" w14:textId="77777777" w:rsidR="00E84A0D" w:rsidRDefault="00E84A0D" w:rsidP="0046508E">
      <w:pPr>
        <w:pStyle w:val="HeadingPage"/>
        <w:spacing w:line="360" w:lineRule="auto"/>
        <w:sectPr w:rsidR="00E84A0D" w:rsidSect="00272BE7">
          <w:headerReference w:type="default" r:id="rId13"/>
          <w:footerReference w:type="default" r:id="rId14"/>
          <w:pgSz w:w="11906" w:h="16838" w:code="9"/>
          <w:pgMar w:top="1474" w:right="1418" w:bottom="1134" w:left="1418" w:header="964" w:footer="454" w:gutter="0"/>
          <w:pgNumType w:fmt="lowerRoman" w:start="1"/>
          <w:cols w:space="708"/>
          <w:docGrid w:linePitch="360"/>
        </w:sectPr>
      </w:pPr>
    </w:p>
    <w:p w14:paraId="7909D256" w14:textId="74F694A3" w:rsidR="004B569D" w:rsidRPr="002B4B5B" w:rsidRDefault="004B569D" w:rsidP="000E0C77">
      <w:pPr>
        <w:pStyle w:val="Heading1"/>
        <w:numPr>
          <w:ilvl w:val="0"/>
          <w:numId w:val="0"/>
        </w:numPr>
      </w:pPr>
      <w:bookmarkStart w:id="0" w:name="_Toc88485991"/>
      <w:bookmarkStart w:id="1" w:name="_Toc141346883"/>
      <w:bookmarkStart w:id="2" w:name="_Toc222131855"/>
      <w:r w:rsidRPr="002B4B5B">
        <w:lastRenderedPageBreak/>
        <w:t>Executive Summary</w:t>
      </w:r>
      <w:bookmarkEnd w:id="0"/>
      <w:bookmarkEnd w:id="1"/>
      <w:bookmarkEnd w:id="2"/>
    </w:p>
    <w:p w14:paraId="37F6AAB4" w14:textId="67E30FFA" w:rsidR="005852D7" w:rsidRDefault="00CC1F9E" w:rsidP="004D0353">
      <w:r w:rsidRPr="00E3664B">
        <w:t xml:space="preserve">This Air Quality Action Plan (AQAP) has been produced as part of our </w:t>
      </w:r>
      <w:r w:rsidR="00621F03">
        <w:t xml:space="preserve">statutory </w:t>
      </w:r>
      <w:r w:rsidR="0085709B">
        <w:t>duties required by the</w:t>
      </w:r>
      <w:r w:rsidRPr="00E3664B">
        <w:t xml:space="preserve"> </w:t>
      </w:r>
      <w:r w:rsidR="00CD1DEB" w:rsidRPr="00E3664B">
        <w:t>Local Air Quality Management</w:t>
      </w:r>
      <w:r w:rsidR="0085709B">
        <w:t xml:space="preserve"> framework</w:t>
      </w:r>
      <w:r w:rsidR="00CD1DEB" w:rsidRPr="00E3664B">
        <w:t>.</w:t>
      </w:r>
      <w:r w:rsidRPr="00E3664B">
        <w:t xml:space="preserve"> It outlines the action</w:t>
      </w:r>
      <w:r w:rsidR="005852D7">
        <w:t>s</w:t>
      </w:r>
      <w:r w:rsidRPr="00E3664B">
        <w:t xml:space="preserve"> we will take to improve air quality in</w:t>
      </w:r>
      <w:r w:rsidR="00700148">
        <w:t xml:space="preserve"> Newcastle City Council</w:t>
      </w:r>
      <w:r w:rsidR="00B34D0A" w:rsidRPr="00E3664B">
        <w:t xml:space="preserve"> </w:t>
      </w:r>
      <w:r w:rsidRPr="00E3664B">
        <w:t xml:space="preserve">between </w:t>
      </w:r>
      <w:r w:rsidR="00616A21">
        <w:t>2026 and 2030.</w:t>
      </w:r>
      <w:r w:rsidR="00DB7488" w:rsidRPr="00700148">
        <w:t xml:space="preserve"> </w:t>
      </w:r>
      <w:r w:rsidR="005852D7">
        <w:t>T</w:t>
      </w:r>
      <w:r w:rsidR="00616858">
        <w:t>he AQAP set</w:t>
      </w:r>
      <w:r w:rsidR="008C17D9">
        <w:t>s</w:t>
      </w:r>
      <w:r w:rsidR="00616858">
        <w:t xml:space="preserve"> </w:t>
      </w:r>
      <w:r w:rsidR="00EA48F8">
        <w:t>out how the local authority will exercise its functions in order to secure th</w:t>
      </w:r>
      <w:r w:rsidR="00944B50">
        <w:t xml:space="preserve">e achievement of </w:t>
      </w:r>
      <w:r w:rsidR="005852D7">
        <w:t xml:space="preserve">the </w:t>
      </w:r>
      <w:r w:rsidR="00944B50">
        <w:t xml:space="preserve">air quality objectives. </w:t>
      </w:r>
    </w:p>
    <w:p w14:paraId="115129CF" w14:textId="2A9BEC91" w:rsidR="004D0353" w:rsidRPr="005D760F" w:rsidRDefault="004D0353" w:rsidP="004D0353">
      <w:r w:rsidRPr="0021416E">
        <w:t xml:space="preserve">This </w:t>
      </w:r>
      <w:r w:rsidR="009C45DE" w:rsidRPr="0021416E">
        <w:t>action plan</w:t>
      </w:r>
      <w:r w:rsidRPr="0021416E">
        <w:t xml:space="preserve"> </w:t>
      </w:r>
      <w:r w:rsidRPr="00D561FC">
        <w:t>is a</w:t>
      </w:r>
      <w:r w:rsidRPr="00DF643F">
        <w:t xml:space="preserve"> draft </w:t>
      </w:r>
      <w:r w:rsidRPr="00D561FC">
        <w:t>version</w:t>
      </w:r>
      <w:r w:rsidR="00E73EAF" w:rsidRPr="00D561FC">
        <w:t xml:space="preserve"> </w:t>
      </w:r>
      <w:r w:rsidR="00BC52DB" w:rsidRPr="00D561FC">
        <w:t xml:space="preserve">and </w:t>
      </w:r>
      <w:r w:rsidR="00BC52DB" w:rsidRPr="00DF643F">
        <w:t xml:space="preserve">will be adopted </w:t>
      </w:r>
      <w:r w:rsidR="00BC52DB" w:rsidRPr="00D561FC">
        <w:t>from</w:t>
      </w:r>
      <w:r w:rsidR="00BC52DB" w:rsidRPr="00DF643F">
        <w:t xml:space="preserve"> </w:t>
      </w:r>
      <w:r w:rsidR="00616A21">
        <w:t>[TBC].</w:t>
      </w:r>
      <w:r w:rsidR="00503587" w:rsidRPr="00DF643F">
        <w:t xml:space="preserve"> </w:t>
      </w:r>
      <w:r w:rsidR="0032574B" w:rsidRPr="0021416E">
        <w:t>I</w:t>
      </w:r>
      <w:r w:rsidR="00947BEF" w:rsidRPr="0021416E">
        <w:t>mplementation of the outlined measure</w:t>
      </w:r>
      <w:r w:rsidR="0032574B" w:rsidRPr="0021416E">
        <w:t xml:space="preserve">s </w:t>
      </w:r>
      <w:r w:rsidR="00947BEF" w:rsidRPr="0021416E">
        <w:t xml:space="preserve">will </w:t>
      </w:r>
      <w:r w:rsidR="00E75ED9" w:rsidRPr="0021416E">
        <w:t xml:space="preserve">result in the relevant objective(s) being attained by </w:t>
      </w:r>
      <w:r w:rsidR="00D561FC" w:rsidRPr="00DF643F">
        <w:t>2026</w:t>
      </w:r>
      <w:r w:rsidR="00E75ED9" w:rsidRPr="00DF643F">
        <w:t>.</w:t>
      </w:r>
    </w:p>
    <w:p w14:paraId="65D2FA90" w14:textId="599C440B" w:rsidR="00E73EAF" w:rsidRDefault="00E73EAF" w:rsidP="00E73EAF">
      <w:pPr>
        <w:rPr>
          <w:color w:val="FF0000"/>
        </w:rPr>
      </w:pPr>
      <w:r w:rsidRPr="0021416E">
        <w:t xml:space="preserve">The relevant Air Quality Management Areas (AQMAs) addressed by this </w:t>
      </w:r>
      <w:r w:rsidR="009C45DE" w:rsidRPr="0021416E">
        <w:t>action plan</w:t>
      </w:r>
      <w:r w:rsidRPr="0021416E">
        <w:t xml:space="preserve"> are outlined below:</w:t>
      </w:r>
      <w:r w:rsidRPr="4D6AC012">
        <w:rPr>
          <w:color w:val="FF0000"/>
        </w:rPr>
        <w:t xml:space="preserve"> </w:t>
      </w:r>
    </w:p>
    <w:p w14:paraId="49A8253A" w14:textId="028B81E4" w:rsidR="00D561FC" w:rsidRDefault="00D561FC">
      <w:pPr>
        <w:pStyle w:val="ListParagraph"/>
        <w:numPr>
          <w:ilvl w:val="0"/>
          <w:numId w:val="45"/>
        </w:numPr>
      </w:pPr>
      <w:r w:rsidRPr="00DF643F">
        <w:t xml:space="preserve">AQMA No. 1b (city centre) which was declared in 2008 for exceedances of the annual mean </w:t>
      </w:r>
      <w:r w:rsidRPr="00D561FC">
        <w:t>objective for nitrogen dioxide (</w:t>
      </w:r>
      <w:r w:rsidRPr="00D561FC">
        <w:rPr>
          <w:rFonts w:eastAsia="Arial" w:cs="Arial"/>
          <w:kern w:val="18"/>
          <w:lang w:val="en-IE"/>
        </w:rPr>
        <w:t>NO</w:t>
      </w:r>
      <w:r w:rsidRPr="00D561FC">
        <w:rPr>
          <w:rFonts w:eastAsia="Arial" w:cs="Arial"/>
          <w:kern w:val="18"/>
          <w:vertAlign w:val="subscript"/>
          <w:lang w:val="en-IE"/>
        </w:rPr>
        <w:t>2</w:t>
      </w:r>
      <w:r w:rsidRPr="00D561FC">
        <w:t>)</w:t>
      </w:r>
      <w:r w:rsidR="001741CA">
        <w:t>.</w:t>
      </w:r>
    </w:p>
    <w:p w14:paraId="4A0BDFC3" w14:textId="3A8B2BAD" w:rsidR="001741CA" w:rsidRPr="00D561FC" w:rsidRDefault="001741CA" w:rsidP="001741CA">
      <w:r>
        <w:t xml:space="preserve">It is the intention of Newcastle City Council to revoke </w:t>
      </w:r>
      <w:r w:rsidRPr="001741CA">
        <w:t xml:space="preserve">AQMA No. 5 (Gosforth) as annual mean </w:t>
      </w:r>
      <w:r w:rsidRPr="001741CA">
        <w:rPr>
          <w:lang w:val="en-IE"/>
        </w:rPr>
        <w:t>NO</w:t>
      </w:r>
      <w:r w:rsidRPr="001741CA">
        <w:rPr>
          <w:vertAlign w:val="subscript"/>
          <w:lang w:val="en-IE"/>
        </w:rPr>
        <w:t>2</w:t>
      </w:r>
      <w:r w:rsidRPr="001741CA">
        <w:t xml:space="preserve"> concentrations have been compliant for five years. </w:t>
      </w:r>
    </w:p>
    <w:p w14:paraId="42EB9518" w14:textId="415CC028" w:rsidR="00CC1F9E" w:rsidRDefault="00CC1F9E" w:rsidP="002F6093">
      <w:pPr>
        <w:rPr>
          <w:color w:val="FF0000"/>
        </w:rPr>
      </w:pPr>
      <w:r w:rsidRPr="00E3664B">
        <w:t xml:space="preserve">This action plan replaces the previous action plan which ran </w:t>
      </w:r>
      <w:r w:rsidRPr="008D06AC">
        <w:t xml:space="preserve">from </w:t>
      </w:r>
      <w:r w:rsidR="00D561FC" w:rsidRPr="00DF643F">
        <w:t>2006 – 202</w:t>
      </w:r>
      <w:r w:rsidR="008D06AC" w:rsidRPr="00DF643F">
        <w:t>5.</w:t>
      </w:r>
      <w:r w:rsidRPr="008D06AC">
        <w:t xml:space="preserve"> </w:t>
      </w:r>
      <w:r w:rsidR="00C51F09">
        <w:t>Projects</w:t>
      </w:r>
      <w:r w:rsidRPr="00E3664B">
        <w:t xml:space="preserve"> delivered through the past action plan include:</w:t>
      </w:r>
    </w:p>
    <w:p w14:paraId="1273F672" w14:textId="43B1B307" w:rsidR="008D06AC" w:rsidRDefault="008D06AC" w:rsidP="008D06AC">
      <w:pPr>
        <w:pStyle w:val="ListParagraph"/>
        <w:numPr>
          <w:ilvl w:val="0"/>
          <w:numId w:val="45"/>
        </w:numPr>
      </w:pPr>
      <w:r>
        <w:t>Enabling people to choose active travel and public transport;</w:t>
      </w:r>
    </w:p>
    <w:p w14:paraId="474FC0B1" w14:textId="78571D0C" w:rsidR="008D06AC" w:rsidRDefault="008D06AC" w:rsidP="008D06AC">
      <w:pPr>
        <w:pStyle w:val="ListParagraph"/>
        <w:numPr>
          <w:ilvl w:val="0"/>
          <w:numId w:val="45"/>
        </w:numPr>
      </w:pPr>
      <w:r>
        <w:t>Implementation of the Clean Air Zone (CAZ) to improve emissions from road transport;</w:t>
      </w:r>
    </w:p>
    <w:p w14:paraId="5D33A81F" w14:textId="6D57D52F" w:rsidR="008D06AC" w:rsidRDefault="008D06AC" w:rsidP="008D06AC">
      <w:pPr>
        <w:pStyle w:val="ListParagraph"/>
        <w:numPr>
          <w:ilvl w:val="0"/>
          <w:numId w:val="45"/>
        </w:numPr>
      </w:pPr>
      <w:r>
        <w:t>Encouraging the correct use of solid fuel appliances;</w:t>
      </w:r>
    </w:p>
    <w:p w14:paraId="3327D5AD" w14:textId="3C4CFFE4" w:rsidR="008D06AC" w:rsidRDefault="008D06AC" w:rsidP="008D06AC">
      <w:pPr>
        <w:pStyle w:val="ListParagraph"/>
        <w:numPr>
          <w:ilvl w:val="0"/>
          <w:numId w:val="45"/>
        </w:numPr>
      </w:pPr>
      <w:r>
        <w:t>Decriminalising parking enforcement;</w:t>
      </w:r>
    </w:p>
    <w:p w14:paraId="6FD32B12" w14:textId="23449500" w:rsidR="008D06AC" w:rsidRDefault="008D06AC" w:rsidP="008D06AC">
      <w:pPr>
        <w:pStyle w:val="ListParagraph"/>
        <w:numPr>
          <w:ilvl w:val="0"/>
          <w:numId w:val="45"/>
        </w:numPr>
      </w:pPr>
      <w:r>
        <w:t>Enforcing idling engines legislation;</w:t>
      </w:r>
    </w:p>
    <w:p w14:paraId="464AB78B" w14:textId="6ED035E1" w:rsidR="008D06AC" w:rsidRDefault="008D06AC" w:rsidP="008D06AC">
      <w:pPr>
        <w:pStyle w:val="ListParagraph"/>
        <w:numPr>
          <w:ilvl w:val="0"/>
          <w:numId w:val="45"/>
        </w:numPr>
      </w:pPr>
      <w:r>
        <w:t>Car Loan Schemes;</w:t>
      </w:r>
    </w:p>
    <w:p w14:paraId="408CF45C" w14:textId="3B59C1C8" w:rsidR="008D06AC" w:rsidRDefault="008D06AC" w:rsidP="008D06AC">
      <w:pPr>
        <w:pStyle w:val="ListParagraph"/>
        <w:numPr>
          <w:ilvl w:val="0"/>
          <w:numId w:val="45"/>
        </w:numPr>
      </w:pPr>
      <w:r>
        <w:t>Use of car parking charges to encourage alternatives;</w:t>
      </w:r>
    </w:p>
    <w:p w14:paraId="49E51425" w14:textId="381C6286" w:rsidR="008D06AC" w:rsidRDefault="008D06AC" w:rsidP="008D06AC">
      <w:pPr>
        <w:pStyle w:val="ListParagraph"/>
        <w:numPr>
          <w:ilvl w:val="0"/>
          <w:numId w:val="45"/>
        </w:numPr>
      </w:pPr>
      <w:r>
        <w:t>Electric by default policy, meaning consideration must be given to procuring electric vehicles prior to petrol or diesel and a case made for anything other than electric;</w:t>
      </w:r>
    </w:p>
    <w:p w14:paraId="7534E5B6" w14:textId="018BED4C" w:rsidR="008D06AC" w:rsidRDefault="008D06AC" w:rsidP="008D06AC">
      <w:pPr>
        <w:pStyle w:val="ListParagraph"/>
        <w:numPr>
          <w:ilvl w:val="0"/>
          <w:numId w:val="45"/>
        </w:numPr>
      </w:pPr>
      <w:r>
        <w:t>Switch EV Council Trial;</w:t>
      </w:r>
    </w:p>
    <w:p w14:paraId="0CC06E61" w14:textId="3D04FAF2" w:rsidR="008D06AC" w:rsidRDefault="008D06AC" w:rsidP="008D06AC">
      <w:pPr>
        <w:pStyle w:val="ListParagraph"/>
        <w:numPr>
          <w:ilvl w:val="0"/>
          <w:numId w:val="45"/>
        </w:numPr>
      </w:pPr>
      <w:r>
        <w:lastRenderedPageBreak/>
        <w:t xml:space="preserve">Switch EV Public Trial; and </w:t>
      </w:r>
    </w:p>
    <w:p w14:paraId="394C6165" w14:textId="25F1202B" w:rsidR="008D06AC" w:rsidRPr="00E3664B" w:rsidRDefault="008D06AC" w:rsidP="00DF643F">
      <w:pPr>
        <w:pStyle w:val="ListParagraph"/>
        <w:numPr>
          <w:ilvl w:val="0"/>
          <w:numId w:val="45"/>
        </w:numPr>
      </w:pPr>
      <w:r>
        <w:t>Switch EV Car Club Trial.</w:t>
      </w:r>
    </w:p>
    <w:p w14:paraId="62C38E16" w14:textId="01265907" w:rsidR="00CC1F9E" w:rsidRPr="00E3664B" w:rsidRDefault="00CC1F9E" w:rsidP="002F6093">
      <w:r w:rsidRPr="00E3664B">
        <w:t>Air pollution is associated with a number of adverse health impacts</w:t>
      </w:r>
      <w:r w:rsidR="00CD1DEB" w:rsidRPr="00E3664B">
        <w:t>. I</w:t>
      </w:r>
      <w:r w:rsidRPr="00E3664B">
        <w:t xml:space="preserve">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w:t>
      </w:r>
      <w:r w:rsidR="003E2101" w:rsidRPr="00E3664B">
        <w:t>issues because</w:t>
      </w:r>
      <w:r w:rsidRPr="00E3664B">
        <w:t xml:space="preserve"> areas with poor air quality are also often less affluent</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032ED011" w14:textId="36DF4148" w:rsidR="00CC1F9E" w:rsidRDefault="001D0C40" w:rsidP="00860A2F">
      <w:r>
        <w:t xml:space="preserve">The </w:t>
      </w:r>
      <w:r w:rsidR="00A55D86">
        <w:t xml:space="preserve">UK Health </w:t>
      </w:r>
      <w:r>
        <w:t xml:space="preserve">Security Agency (formally Public Health England) </w:t>
      </w:r>
      <w:r w:rsidR="00356142">
        <w:t xml:space="preserve">has </w:t>
      </w:r>
      <w:r w:rsidR="00D90BFC" w:rsidRPr="00E55388">
        <w:t>estimated that the costs of air pollution in England to health and social care services could reach between £5.3 and 18.6 billion between 2018 and 2035</w:t>
      </w:r>
      <w:r w:rsidR="00D90BFC">
        <w:rPr>
          <w:rStyle w:val="normaltextrun"/>
          <w:rFonts w:ascii="Calibri" w:hAnsi="Calibri" w:cs="Calibri"/>
          <w:color w:val="000000"/>
          <w:sz w:val="22"/>
          <w:szCs w:val="22"/>
          <w:shd w:val="clear" w:color="auto" w:fill="FFFFFF"/>
        </w:rPr>
        <w:t xml:space="preserve"> </w:t>
      </w:r>
      <w:r w:rsidR="00CC1F9E" w:rsidRPr="00E3664B">
        <w:rPr>
          <w:vertAlign w:val="superscript"/>
        </w:rPr>
        <w:footnoteReference w:id="4"/>
      </w:r>
      <w:r w:rsidR="00CC1F9E" w:rsidRPr="00E3664B">
        <w:t>.</w:t>
      </w:r>
      <w:r w:rsidR="00B34D0A" w:rsidRPr="00E3664B">
        <w:t xml:space="preserve"> </w:t>
      </w:r>
      <w:r w:rsidR="008D06AC">
        <w:t xml:space="preserve">Newcastle City Council </w:t>
      </w:r>
      <w:r w:rsidR="00B34D0A" w:rsidRPr="00E3664B">
        <w:t xml:space="preserve">is committed to reducing the exposure of people in </w:t>
      </w:r>
      <w:r w:rsidR="008D06AC">
        <w:t xml:space="preserve">Newcastle </w:t>
      </w:r>
      <w:r w:rsidR="00CC1F9E" w:rsidRPr="00E3664B">
        <w:t>to poor air quality in order to improve health.</w:t>
      </w:r>
    </w:p>
    <w:p w14:paraId="35F0C922" w14:textId="27766550" w:rsidR="00CC1F9E" w:rsidRPr="008562F1" w:rsidRDefault="09E7CB77" w:rsidP="002F6093">
      <w:r>
        <w:t xml:space="preserve">We have developed actions that can be considered </w:t>
      </w:r>
      <w:r w:rsidRPr="00046B25">
        <w:t>under</w:t>
      </w:r>
      <w:r w:rsidR="00046B25" w:rsidRPr="00DF643F">
        <w:t xml:space="preserve"> five </w:t>
      </w:r>
      <w:r w:rsidRPr="00046B25">
        <w:t xml:space="preserve">broad </w:t>
      </w:r>
      <w:r>
        <w:t>topics:</w:t>
      </w:r>
    </w:p>
    <w:p w14:paraId="471E3220" w14:textId="61D8C217" w:rsidR="00B34D0A" w:rsidRPr="00DF643F" w:rsidRDefault="3007F3A6" w:rsidP="00E351DA">
      <w:pPr>
        <w:numPr>
          <w:ilvl w:val="0"/>
          <w:numId w:val="6"/>
        </w:numPr>
      </w:pPr>
      <w:r w:rsidRPr="00DF643F">
        <w:t>Alternatives to private vehicle use</w:t>
      </w:r>
      <w:r w:rsidR="00046B25" w:rsidRPr="00046B25">
        <w:t>;</w:t>
      </w:r>
    </w:p>
    <w:p w14:paraId="4DE57F98" w14:textId="07A3415D" w:rsidR="00B34D0A" w:rsidRPr="00DF643F" w:rsidRDefault="3007F3A6" w:rsidP="00E351DA">
      <w:pPr>
        <w:numPr>
          <w:ilvl w:val="0"/>
          <w:numId w:val="6"/>
        </w:numPr>
      </w:pPr>
      <w:r w:rsidRPr="00DF643F">
        <w:t>Policy guidance and development control</w:t>
      </w:r>
      <w:r w:rsidR="00046B25" w:rsidRPr="00046B25">
        <w:t>;</w:t>
      </w:r>
    </w:p>
    <w:p w14:paraId="17C68883" w14:textId="435364A1" w:rsidR="00B34D0A" w:rsidRPr="00DF643F" w:rsidRDefault="3007F3A6" w:rsidP="00E351DA">
      <w:pPr>
        <w:numPr>
          <w:ilvl w:val="0"/>
          <w:numId w:val="6"/>
        </w:numPr>
      </w:pPr>
      <w:r w:rsidRPr="00DF643F">
        <w:t>Promoting low emission transport</w:t>
      </w:r>
      <w:r w:rsidR="00046B25" w:rsidRPr="00046B25">
        <w:t>;</w:t>
      </w:r>
    </w:p>
    <w:p w14:paraId="366FD63E" w14:textId="000E25E1" w:rsidR="00B34D0A" w:rsidRPr="00DF643F" w:rsidRDefault="3007F3A6" w:rsidP="00E351DA">
      <w:pPr>
        <w:numPr>
          <w:ilvl w:val="0"/>
          <w:numId w:val="6"/>
        </w:numPr>
      </w:pPr>
      <w:r w:rsidRPr="00DF643F">
        <w:t>Promoting travel alternatives</w:t>
      </w:r>
      <w:r w:rsidR="00046B25" w:rsidRPr="00046B25">
        <w:t>; and</w:t>
      </w:r>
    </w:p>
    <w:p w14:paraId="7C5D0C6D" w14:textId="73BBE231" w:rsidR="00B34D0A" w:rsidRPr="002F6093" w:rsidRDefault="3007F3A6" w:rsidP="00E351DA">
      <w:pPr>
        <w:numPr>
          <w:ilvl w:val="0"/>
          <w:numId w:val="6"/>
        </w:numPr>
        <w:rPr>
          <w:color w:val="FF0000"/>
        </w:rPr>
      </w:pPr>
      <w:r w:rsidRPr="00DF643F">
        <w:t>Vehicle fleet efficiency</w:t>
      </w:r>
      <w:r w:rsidR="00046B25" w:rsidRPr="00046B25">
        <w:t>.</w:t>
      </w:r>
    </w:p>
    <w:p w14:paraId="25E1E27C" w14:textId="242E7E0D" w:rsidR="00046B25" w:rsidRPr="001741CA" w:rsidRDefault="00CC1F9E" w:rsidP="002F6093">
      <w:pPr>
        <w:rPr>
          <w:rFonts w:cs="Arial"/>
        </w:rPr>
      </w:pPr>
      <w:r w:rsidRPr="00E3664B">
        <w:t>Our priorities are</w:t>
      </w:r>
      <w:r w:rsidR="00046B25">
        <w:t xml:space="preserve"> to achieve compliance with the</w:t>
      </w:r>
      <w:r w:rsidR="00046B25" w:rsidRPr="004A2966">
        <w:rPr>
          <w:rFonts w:cs="Arial"/>
        </w:rPr>
        <w:t xml:space="preserve"> </w:t>
      </w:r>
      <w:r w:rsidR="00046B25" w:rsidRPr="004A2966">
        <w:rPr>
          <w:rFonts w:eastAsia="Arial" w:cs="Arial"/>
          <w:kern w:val="18"/>
          <w:lang w:val="en-IE"/>
        </w:rPr>
        <w:t>NO</w:t>
      </w:r>
      <w:r w:rsidR="00046B25" w:rsidRPr="004A2966">
        <w:rPr>
          <w:rFonts w:eastAsia="Arial" w:cs="Arial"/>
          <w:kern w:val="18"/>
          <w:vertAlign w:val="subscript"/>
          <w:lang w:val="en-IE"/>
        </w:rPr>
        <w:t>2</w:t>
      </w:r>
      <w:r w:rsidR="00046B25" w:rsidRPr="004A2966">
        <w:rPr>
          <w:rFonts w:cs="Arial"/>
        </w:rPr>
        <w:t xml:space="preserve"> annual mean objective within </w:t>
      </w:r>
      <w:r w:rsidR="00046B25" w:rsidRPr="00E97D24">
        <w:rPr>
          <w:rFonts w:cs="Arial"/>
        </w:rPr>
        <w:t>the AQMA and maintain compliance for at least three years to enable revocation of the AQMA</w:t>
      </w:r>
      <w:r w:rsidR="00046B25">
        <w:rPr>
          <w:rFonts w:cs="Arial"/>
        </w:rPr>
        <w:t>,</w:t>
      </w:r>
      <w:r w:rsidR="00046B25" w:rsidRPr="00046B25">
        <w:t xml:space="preserve"> </w:t>
      </w:r>
      <w:r w:rsidR="00046B25">
        <w:rPr>
          <w:rFonts w:cs="Arial"/>
        </w:rPr>
        <w:t>t</w:t>
      </w:r>
      <w:r w:rsidR="00046B25" w:rsidRPr="00046B25">
        <w:rPr>
          <w:rFonts w:cs="Arial"/>
        </w:rPr>
        <w:t>o achieve compliance with the NO</w:t>
      </w:r>
      <w:r w:rsidR="00046B25" w:rsidRPr="00DF643F">
        <w:rPr>
          <w:rFonts w:cs="Arial"/>
          <w:vertAlign w:val="subscript"/>
        </w:rPr>
        <w:t>2</w:t>
      </w:r>
      <w:r w:rsidR="00046B25" w:rsidRPr="00046B25">
        <w:rPr>
          <w:rFonts w:cs="Arial"/>
        </w:rPr>
        <w:t xml:space="preserve"> annual mean Limit Values within the CAZ and work towards revocation of the CAZ</w:t>
      </w:r>
      <w:r w:rsidR="00046B25">
        <w:rPr>
          <w:rFonts w:cs="Arial"/>
        </w:rPr>
        <w:t xml:space="preserve">, and to collaborate </w:t>
      </w:r>
      <w:r w:rsidR="00046B25" w:rsidRPr="00046B25">
        <w:rPr>
          <w:rFonts w:cs="Arial"/>
        </w:rPr>
        <w:t xml:space="preserve">with North East Combined Authority (NECA) on transport related issues, including the electrification </w:t>
      </w:r>
      <w:r w:rsidR="00046B25" w:rsidRPr="00046B25">
        <w:rPr>
          <w:rFonts w:cs="Arial"/>
        </w:rPr>
        <w:lastRenderedPageBreak/>
        <w:t>of buses</w:t>
      </w:r>
      <w:r w:rsidR="008B6778">
        <w:rPr>
          <w:rFonts w:cs="Arial"/>
        </w:rPr>
        <w:t xml:space="preserve">, as bus emissions have been identified as the primary contributor to remaining exceedances of the </w:t>
      </w:r>
      <w:r w:rsidR="008B6778" w:rsidRPr="004A2966">
        <w:rPr>
          <w:rFonts w:eastAsia="Arial" w:cs="Arial"/>
          <w:kern w:val="18"/>
          <w:lang w:val="en-IE"/>
        </w:rPr>
        <w:t>NO</w:t>
      </w:r>
      <w:r w:rsidR="008B6778" w:rsidRPr="004A2966">
        <w:rPr>
          <w:rFonts w:eastAsia="Arial" w:cs="Arial"/>
          <w:kern w:val="18"/>
          <w:vertAlign w:val="subscript"/>
          <w:lang w:val="en-IE"/>
        </w:rPr>
        <w:t>2</w:t>
      </w:r>
      <w:r w:rsidR="008B6778" w:rsidRPr="004A2966">
        <w:rPr>
          <w:rFonts w:cs="Arial"/>
        </w:rPr>
        <w:t xml:space="preserve"> annual mean objective</w:t>
      </w:r>
      <w:r w:rsidR="008B6778">
        <w:rPr>
          <w:rFonts w:cs="Arial"/>
        </w:rPr>
        <w:t>.</w:t>
      </w:r>
    </w:p>
    <w:p w14:paraId="74DDCDF2" w14:textId="63A6BA98" w:rsidR="00CC1F9E" w:rsidRPr="00E3664B" w:rsidRDefault="00CC1F9E" w:rsidP="002F6093">
      <w:r w:rsidRPr="00B36E5F">
        <w:t>In this AQAP</w:t>
      </w:r>
      <w:r w:rsidR="00036A3A" w:rsidRPr="00B36E5F">
        <w:t>,</w:t>
      </w:r>
      <w:r w:rsidRPr="00B36E5F">
        <w:t xml:space="preserve"> we outline how we plan to effectively tackle air quality issues within our control.</w:t>
      </w:r>
      <w:r w:rsidR="00F740BA">
        <w:t xml:space="preserve"> </w:t>
      </w:r>
      <w:r w:rsidR="00A35A2D">
        <w:t>This AQAP</w:t>
      </w:r>
      <w:r w:rsidR="00B30AE6">
        <w:t xml:space="preserve"> is aligned</w:t>
      </w:r>
      <w:r w:rsidR="00A35A2D">
        <w:t xml:space="preserve"> with the Council Plan 2024 – 2027</w:t>
      </w:r>
      <w:r w:rsidR="00A35A2D">
        <w:rPr>
          <w:rStyle w:val="FootnoteReference"/>
        </w:rPr>
        <w:footnoteReference w:id="5"/>
      </w:r>
      <w:r w:rsidR="00A35A2D">
        <w:t xml:space="preserve"> </w:t>
      </w:r>
      <w:r w:rsidR="00B30AE6">
        <w:t>which serves as the foundation of the Council’s delivery framework</w:t>
      </w:r>
      <w:r w:rsidR="00A35A2D">
        <w:t>.</w:t>
      </w:r>
      <w:r w:rsidR="00B30AE6">
        <w:t xml:space="preserve"> The Plan sets out three interconnected overarching priorities: inclusive economy, anti-poverty, and net zero. The AQAP indirectly supports the net zero priority by addressing air pollution.  </w:t>
      </w:r>
      <w:r w:rsidR="00A35A2D">
        <w:t xml:space="preserve"> </w:t>
      </w:r>
      <w:r w:rsidRPr="00E3664B">
        <w:t xml:space="preserve">However, we recognise that there are a large number of air quality policy areas that are outside of our influence (such as </w:t>
      </w:r>
      <w:r w:rsidR="00360F4A">
        <w:t>vehicle emissions standards</w:t>
      </w:r>
      <w:r w:rsidR="000A0092">
        <w:t xml:space="preserve">) </w:t>
      </w:r>
      <w:r w:rsidR="00C41C0D">
        <w:t>but for which we may have useful evidence</w:t>
      </w:r>
      <w:r w:rsidRPr="00E3664B">
        <w:t>, and so we will continue to work with regional and central government on policies and issues beyond</w:t>
      </w:r>
      <w:r w:rsidR="008D06AC">
        <w:t xml:space="preserve"> Newcastle City Council’s</w:t>
      </w:r>
      <w:r w:rsidR="00C41C0D">
        <w:t xml:space="preserve"> direct</w:t>
      </w:r>
      <w:r w:rsidRPr="00E3664B">
        <w:t xml:space="preserve"> influence.</w:t>
      </w:r>
    </w:p>
    <w:p w14:paraId="7C32BC5D" w14:textId="47730B95" w:rsidR="00CC1F9E" w:rsidRPr="007944A9" w:rsidRDefault="008C1620" w:rsidP="0046508E">
      <w:pPr>
        <w:pStyle w:val="Heading2"/>
        <w:numPr>
          <w:ilvl w:val="0"/>
          <w:numId w:val="0"/>
        </w:numPr>
        <w:ind w:left="1134" w:hanging="1131"/>
      </w:pPr>
      <w:bookmarkStart w:id="3" w:name="_Toc88485992"/>
      <w:bookmarkStart w:id="4" w:name="_Toc141346884"/>
      <w:bookmarkStart w:id="5" w:name="_Toc222131856"/>
      <w:r w:rsidRPr="007944A9">
        <w:t>Responsibilities and Commitmen</w:t>
      </w:r>
      <w:bookmarkEnd w:id="3"/>
      <w:bookmarkEnd w:id="4"/>
      <w:bookmarkEnd w:id="5"/>
      <w:r w:rsidR="00616A21">
        <w:t>t</w:t>
      </w:r>
    </w:p>
    <w:p w14:paraId="41713AF0" w14:textId="2707066A" w:rsidR="00CC1F9E" w:rsidRDefault="00CC1F9E" w:rsidP="002F6093">
      <w:r w:rsidRPr="00E3664B">
        <w:t>This AQAP was prepared by</w:t>
      </w:r>
      <w:r w:rsidR="00752BA1">
        <w:t xml:space="preserve"> AECOM on behalf of the Environmental Health Department of NCC </w:t>
      </w:r>
      <w:r w:rsidRPr="00E3664B">
        <w:t>with the support and agreement of the following officers and departments:</w:t>
      </w:r>
    </w:p>
    <w:p w14:paraId="1D508C4A" w14:textId="31E53441" w:rsidR="00752BA1" w:rsidRPr="00E3664B" w:rsidRDefault="00110E8B" w:rsidP="002F6093">
      <w:r>
        <w:t>Environment Team</w:t>
      </w:r>
      <w:r w:rsidR="00752BA1">
        <w:t xml:space="preserve">, Public Safety and Regulation </w:t>
      </w:r>
    </w:p>
    <w:p w14:paraId="7BF284EB" w14:textId="77777777" w:rsidR="00CC1F9E" w:rsidRPr="00E3664B" w:rsidRDefault="00CC1F9E" w:rsidP="002F6093">
      <w:r w:rsidRPr="00E3664B">
        <w:t>This AQAP has been approved by:</w:t>
      </w:r>
    </w:p>
    <w:p w14:paraId="21E21698" w14:textId="2C0953EB" w:rsidR="00CC1F9E" w:rsidRDefault="00616A21" w:rsidP="002F6093">
      <w:pPr>
        <w:rPr>
          <w:color w:val="FF0000"/>
        </w:rPr>
      </w:pPr>
      <w:r>
        <w:rPr>
          <w:color w:val="FF0000"/>
        </w:rPr>
        <w:t xml:space="preserve">To be completed once consultation complete. </w:t>
      </w:r>
    </w:p>
    <w:p w14:paraId="011D3C1F" w14:textId="77777777" w:rsidR="00616A21" w:rsidRDefault="00616A21" w:rsidP="002F6093">
      <w:pPr>
        <w:rPr>
          <w:color w:val="FF0000"/>
        </w:rPr>
      </w:pPr>
    </w:p>
    <w:p w14:paraId="3B05CC82" w14:textId="77777777" w:rsidR="00616A21" w:rsidRDefault="00616A21" w:rsidP="002F6093">
      <w:pPr>
        <w:rPr>
          <w:color w:val="FF0000"/>
        </w:rPr>
      </w:pPr>
    </w:p>
    <w:p w14:paraId="15D787E0" w14:textId="77777777" w:rsidR="00616A21" w:rsidRDefault="00616A21" w:rsidP="002F6093">
      <w:pPr>
        <w:rPr>
          <w:color w:val="FF0000"/>
        </w:rPr>
      </w:pPr>
    </w:p>
    <w:p w14:paraId="59F1ED98" w14:textId="77777777" w:rsidR="00616A21" w:rsidRDefault="00616A21" w:rsidP="002F6093"/>
    <w:p w14:paraId="490D3166" w14:textId="77777777" w:rsidR="00110E8B" w:rsidRDefault="00110E8B" w:rsidP="002F6093"/>
    <w:p w14:paraId="51D22097" w14:textId="77777777" w:rsidR="00616A21" w:rsidRDefault="00616A21" w:rsidP="002F6093"/>
    <w:p w14:paraId="421D4992" w14:textId="3134CE11" w:rsidR="002F0F13" w:rsidRDefault="008879A4" w:rsidP="002F6093">
      <w:pPr>
        <w:rPr>
          <w:color w:val="FF0000"/>
        </w:rPr>
      </w:pPr>
      <w:r w:rsidRPr="00E55388">
        <w:lastRenderedPageBreak/>
        <w:t xml:space="preserve">The following Air Quality Partners / stakeholders </w:t>
      </w:r>
      <w:r w:rsidR="002F0F13" w:rsidRPr="00E55388">
        <w:t>ha</w:t>
      </w:r>
      <w:r w:rsidRPr="00E55388">
        <w:t>ve</w:t>
      </w:r>
      <w:r w:rsidR="002F0F13" w:rsidRPr="00E55388">
        <w:t xml:space="preserve"> contributed</w:t>
      </w:r>
      <w:r w:rsidRPr="00E55388">
        <w:t xml:space="preserve"> to the development of the AQAP and </w:t>
      </w:r>
      <w:r w:rsidR="002F0F13" w:rsidRPr="00E55388">
        <w:t>will be committed to</w:t>
      </w:r>
      <w:r w:rsidRPr="00E55388">
        <w:t xml:space="preserve"> delivery of</w:t>
      </w:r>
      <w:r w:rsidR="002F0F13" w:rsidRPr="00E55388">
        <w:t xml:space="preserve"> actions:</w:t>
      </w:r>
      <w:r w:rsidR="00573C03" w:rsidRPr="00E55388">
        <w:t xml:space="preserve"> </w:t>
      </w:r>
    </w:p>
    <w:p w14:paraId="414FB28F" w14:textId="3F4CB355" w:rsidR="00465590" w:rsidRPr="00DF643F" w:rsidRDefault="00067F7E" w:rsidP="00E351DA">
      <w:pPr>
        <w:pStyle w:val="ListParagraph"/>
        <w:numPr>
          <w:ilvl w:val="0"/>
          <w:numId w:val="18"/>
        </w:numPr>
      </w:pPr>
      <w:r w:rsidRPr="00DF643F">
        <w:t>Newcastle City Council Public Safety and Regulation;</w:t>
      </w:r>
    </w:p>
    <w:p w14:paraId="7A5E22C3" w14:textId="64363349" w:rsidR="00067F7E" w:rsidRPr="00DF643F" w:rsidRDefault="00067F7E" w:rsidP="00E351DA">
      <w:pPr>
        <w:pStyle w:val="ListParagraph"/>
        <w:numPr>
          <w:ilvl w:val="0"/>
          <w:numId w:val="18"/>
        </w:numPr>
      </w:pPr>
      <w:r w:rsidRPr="00DF643F">
        <w:t>North East Combined Authority (NECA);</w:t>
      </w:r>
    </w:p>
    <w:p w14:paraId="2E2D7A36" w14:textId="62173A20" w:rsidR="00067F7E" w:rsidRPr="00DF643F" w:rsidRDefault="00067F7E" w:rsidP="00E351DA">
      <w:pPr>
        <w:pStyle w:val="ListParagraph"/>
        <w:numPr>
          <w:ilvl w:val="0"/>
          <w:numId w:val="18"/>
        </w:numPr>
      </w:pPr>
      <w:r w:rsidRPr="00DF643F">
        <w:t>Newcastle City Council Transport Planning;</w:t>
      </w:r>
    </w:p>
    <w:p w14:paraId="38F8AEA5" w14:textId="0C195901" w:rsidR="00067F7E" w:rsidRPr="00DF643F" w:rsidRDefault="00067F7E" w:rsidP="00E351DA">
      <w:pPr>
        <w:pStyle w:val="ListParagraph"/>
        <w:numPr>
          <w:ilvl w:val="0"/>
          <w:numId w:val="18"/>
        </w:numPr>
      </w:pPr>
      <w:r w:rsidRPr="00DF643F">
        <w:t>Newcastle City Council City Transport;</w:t>
      </w:r>
    </w:p>
    <w:p w14:paraId="7BF4FD8D" w14:textId="58C31440" w:rsidR="00067F7E" w:rsidRPr="00DF643F" w:rsidRDefault="00067F7E" w:rsidP="00E351DA">
      <w:pPr>
        <w:pStyle w:val="ListParagraph"/>
        <w:numPr>
          <w:ilvl w:val="0"/>
          <w:numId w:val="18"/>
        </w:numPr>
      </w:pPr>
      <w:r w:rsidRPr="00DF643F">
        <w:t xml:space="preserve">Newcastle City Council Policy; and </w:t>
      </w:r>
    </w:p>
    <w:p w14:paraId="2AB7F28A" w14:textId="3D5375A5" w:rsidR="00067F7E" w:rsidRPr="00DF643F" w:rsidRDefault="00067F7E" w:rsidP="00E351DA">
      <w:pPr>
        <w:pStyle w:val="ListParagraph"/>
        <w:numPr>
          <w:ilvl w:val="0"/>
          <w:numId w:val="18"/>
        </w:numPr>
      </w:pPr>
      <w:r w:rsidRPr="00DF643F">
        <w:t>Newcastle City Council Capital Investment and Growth</w:t>
      </w:r>
      <w:r>
        <w:t>.</w:t>
      </w:r>
    </w:p>
    <w:p w14:paraId="79899C5B" w14:textId="3A93A10F" w:rsidR="00CC1F9E" w:rsidRPr="00E3664B" w:rsidRDefault="00CC1F9E" w:rsidP="00465590">
      <w:r w:rsidRPr="00E3664B">
        <w:t xml:space="preserve">This AQAP will be subject to an annual review, appraisal of progress </w:t>
      </w:r>
      <w:r w:rsidRPr="00616A21">
        <w:t>and reporting to the relevant Council Committee</w:t>
      </w:r>
      <w:r w:rsidR="00616A21" w:rsidRPr="00616A21">
        <w:t>.</w:t>
      </w:r>
      <w:r w:rsidRPr="00616A21">
        <w:t xml:space="preserve"> Progress each year will be reported in the Annual </w:t>
      </w:r>
      <w:r w:rsidRPr="00E3664B">
        <w:t xml:space="preserve">Status Reports </w:t>
      </w:r>
      <w:r w:rsidR="00360F4A">
        <w:t xml:space="preserve">(ASRs) </w:t>
      </w:r>
      <w:r w:rsidRPr="00E3664B">
        <w:t xml:space="preserve">produced by </w:t>
      </w:r>
      <w:r w:rsidR="00067F7E" w:rsidRPr="00DF643F">
        <w:t xml:space="preserve">Newcastle City Council </w:t>
      </w:r>
      <w:r w:rsidRPr="00E3664B">
        <w:t>as part of our statutory Local Air Quality Management duties.</w:t>
      </w:r>
    </w:p>
    <w:p w14:paraId="121D9CDA" w14:textId="514F03E3" w:rsidR="00067F7E" w:rsidRPr="002F6958" w:rsidRDefault="00CC1F9E" w:rsidP="00133517">
      <w:pPr>
        <w:rPr>
          <w:color w:val="000000" w:themeColor="text1"/>
        </w:rPr>
      </w:pPr>
      <w:r w:rsidRPr="00E3664B">
        <w:t xml:space="preserve">If you have any comments on this AQAP please send them </w:t>
      </w:r>
      <w:r w:rsidRPr="00067F7E">
        <w:t xml:space="preserve">to </w:t>
      </w:r>
      <w:r w:rsidR="00133517">
        <w:t xml:space="preserve">Let’s Talk Newcastle. </w:t>
      </w:r>
    </w:p>
    <w:p w14:paraId="35FC71AA" w14:textId="5E967357" w:rsidR="004B569D" w:rsidRDefault="004B569D" w:rsidP="00CE2D05">
      <w:pPr>
        <w:pStyle w:val="Contents"/>
      </w:pPr>
      <w:r w:rsidRPr="00E3664B">
        <w:br w:type="page"/>
      </w:r>
      <w:r w:rsidRPr="002B4B5B">
        <w:lastRenderedPageBreak/>
        <w:t xml:space="preserve">Table of </w:t>
      </w:r>
      <w:r w:rsidR="003D650D">
        <w:t>C</w:t>
      </w:r>
      <w:r w:rsidRPr="002B4B5B">
        <w:t>ontents</w:t>
      </w:r>
    </w:p>
    <w:p w14:paraId="080C3C3F" w14:textId="33B7A845" w:rsidR="005267DE" w:rsidRDefault="005E6483">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r>
        <w:rPr>
          <w:color w:val="00AF41"/>
        </w:rPr>
        <w:fldChar w:fldCharType="begin"/>
      </w:r>
      <w:r>
        <w:rPr>
          <w:color w:val="00AF41"/>
        </w:rPr>
        <w:instrText xml:space="preserve"> TOC \o "1-3" \h \z \u </w:instrText>
      </w:r>
      <w:r>
        <w:rPr>
          <w:color w:val="00AF41"/>
        </w:rPr>
        <w:fldChar w:fldCharType="separate"/>
      </w:r>
      <w:hyperlink w:anchor="_Toc222131855" w:history="1">
        <w:r w:rsidR="005267DE" w:rsidRPr="001C7449">
          <w:rPr>
            <w:rStyle w:val="Hyperlink"/>
            <w:noProof/>
          </w:rPr>
          <w:t>Executive Summary</w:t>
        </w:r>
        <w:r w:rsidR="005267DE">
          <w:rPr>
            <w:noProof/>
            <w:webHidden/>
          </w:rPr>
          <w:tab/>
        </w:r>
        <w:r w:rsidR="005267DE">
          <w:rPr>
            <w:noProof/>
            <w:webHidden/>
          </w:rPr>
          <w:fldChar w:fldCharType="begin"/>
        </w:r>
        <w:r w:rsidR="005267DE">
          <w:rPr>
            <w:noProof/>
            <w:webHidden/>
          </w:rPr>
          <w:instrText xml:space="preserve"> PAGEREF _Toc222131855 \h </w:instrText>
        </w:r>
        <w:r w:rsidR="005267DE">
          <w:rPr>
            <w:noProof/>
            <w:webHidden/>
          </w:rPr>
        </w:r>
        <w:r w:rsidR="005267DE">
          <w:rPr>
            <w:noProof/>
            <w:webHidden/>
          </w:rPr>
          <w:fldChar w:fldCharType="separate"/>
        </w:r>
        <w:r w:rsidR="005267DE">
          <w:rPr>
            <w:noProof/>
            <w:webHidden/>
          </w:rPr>
          <w:t>i</w:t>
        </w:r>
        <w:r w:rsidR="005267DE">
          <w:rPr>
            <w:noProof/>
            <w:webHidden/>
          </w:rPr>
          <w:fldChar w:fldCharType="end"/>
        </w:r>
      </w:hyperlink>
    </w:p>
    <w:p w14:paraId="586FF60E" w14:textId="6AC9728D" w:rsidR="005267DE" w:rsidRDefault="005267DE">
      <w:pPr>
        <w:pStyle w:val="TOC2"/>
        <w:tabs>
          <w:tab w:val="right" w:leader="dot" w:pos="9060"/>
        </w:tabs>
        <w:rPr>
          <w:rFonts w:asciiTheme="minorHAnsi" w:eastAsiaTheme="minorEastAsia" w:hAnsiTheme="minorHAnsi" w:cstheme="minorBidi"/>
          <w:noProof/>
          <w:kern w:val="2"/>
          <w:sz w:val="24"/>
          <w:lang w:eastAsia="en-GB"/>
          <w14:ligatures w14:val="standardContextual"/>
        </w:rPr>
      </w:pPr>
      <w:hyperlink w:anchor="_Toc222131856" w:history="1">
        <w:r w:rsidRPr="001C7449">
          <w:rPr>
            <w:rStyle w:val="Hyperlink"/>
            <w:noProof/>
          </w:rPr>
          <w:t>Responsibilities and Commitment</w:t>
        </w:r>
        <w:r>
          <w:rPr>
            <w:noProof/>
            <w:webHidden/>
          </w:rPr>
          <w:tab/>
        </w:r>
        <w:r>
          <w:rPr>
            <w:noProof/>
            <w:webHidden/>
          </w:rPr>
          <w:fldChar w:fldCharType="begin"/>
        </w:r>
        <w:r>
          <w:rPr>
            <w:noProof/>
            <w:webHidden/>
          </w:rPr>
          <w:instrText xml:space="preserve"> PAGEREF _Toc222131856 \h </w:instrText>
        </w:r>
        <w:r>
          <w:rPr>
            <w:noProof/>
            <w:webHidden/>
          </w:rPr>
        </w:r>
        <w:r>
          <w:rPr>
            <w:noProof/>
            <w:webHidden/>
          </w:rPr>
          <w:fldChar w:fldCharType="separate"/>
        </w:r>
        <w:r>
          <w:rPr>
            <w:noProof/>
            <w:webHidden/>
          </w:rPr>
          <w:t>iii</w:t>
        </w:r>
        <w:r>
          <w:rPr>
            <w:noProof/>
            <w:webHidden/>
          </w:rPr>
          <w:fldChar w:fldCharType="end"/>
        </w:r>
      </w:hyperlink>
    </w:p>
    <w:p w14:paraId="5A3F67A1" w14:textId="2339EEE7"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57" w:history="1">
        <w:r w:rsidRPr="001C7449">
          <w:rPr>
            <w:rStyle w:val="Hyperlink"/>
            <w:noProof/>
          </w:rPr>
          <w:t>1</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Introduction</w:t>
        </w:r>
        <w:r>
          <w:rPr>
            <w:noProof/>
            <w:webHidden/>
          </w:rPr>
          <w:tab/>
        </w:r>
        <w:r>
          <w:rPr>
            <w:noProof/>
            <w:webHidden/>
          </w:rPr>
          <w:fldChar w:fldCharType="begin"/>
        </w:r>
        <w:r>
          <w:rPr>
            <w:noProof/>
            <w:webHidden/>
          </w:rPr>
          <w:instrText xml:space="preserve"> PAGEREF _Toc222131857 \h </w:instrText>
        </w:r>
        <w:r>
          <w:rPr>
            <w:noProof/>
            <w:webHidden/>
          </w:rPr>
        </w:r>
        <w:r>
          <w:rPr>
            <w:noProof/>
            <w:webHidden/>
          </w:rPr>
          <w:fldChar w:fldCharType="separate"/>
        </w:r>
        <w:r>
          <w:rPr>
            <w:noProof/>
            <w:webHidden/>
          </w:rPr>
          <w:t>1</w:t>
        </w:r>
        <w:r>
          <w:rPr>
            <w:noProof/>
            <w:webHidden/>
          </w:rPr>
          <w:fldChar w:fldCharType="end"/>
        </w:r>
      </w:hyperlink>
    </w:p>
    <w:p w14:paraId="4D775E95" w14:textId="005EE10C"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58" w:history="1">
        <w:r w:rsidRPr="001C7449">
          <w:rPr>
            <w:rStyle w:val="Hyperlink"/>
            <w:noProof/>
          </w:rPr>
          <w:t>2</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Summary of Current Air Quality in Newcastle City Council</w:t>
        </w:r>
        <w:r>
          <w:rPr>
            <w:noProof/>
            <w:webHidden/>
          </w:rPr>
          <w:tab/>
        </w:r>
        <w:r>
          <w:rPr>
            <w:noProof/>
            <w:webHidden/>
          </w:rPr>
          <w:fldChar w:fldCharType="begin"/>
        </w:r>
        <w:r>
          <w:rPr>
            <w:noProof/>
            <w:webHidden/>
          </w:rPr>
          <w:instrText xml:space="preserve"> PAGEREF _Toc222131858 \h </w:instrText>
        </w:r>
        <w:r>
          <w:rPr>
            <w:noProof/>
            <w:webHidden/>
          </w:rPr>
        </w:r>
        <w:r>
          <w:rPr>
            <w:noProof/>
            <w:webHidden/>
          </w:rPr>
          <w:fldChar w:fldCharType="separate"/>
        </w:r>
        <w:r>
          <w:rPr>
            <w:noProof/>
            <w:webHidden/>
          </w:rPr>
          <w:t>2</w:t>
        </w:r>
        <w:r>
          <w:rPr>
            <w:noProof/>
            <w:webHidden/>
          </w:rPr>
          <w:fldChar w:fldCharType="end"/>
        </w:r>
      </w:hyperlink>
    </w:p>
    <w:p w14:paraId="777464D3" w14:textId="4E1D0170"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59" w:history="1">
        <w:r w:rsidRPr="001C7449">
          <w:rPr>
            <w:rStyle w:val="Hyperlink"/>
            <w:noProof/>
          </w:rPr>
          <w:t>2.1</w:t>
        </w:r>
        <w:r>
          <w:rPr>
            <w:rFonts w:asciiTheme="minorHAnsi" w:eastAsiaTheme="minorEastAsia" w:hAnsiTheme="minorHAnsi" w:cstheme="minorBidi"/>
            <w:noProof/>
            <w:kern w:val="2"/>
            <w:sz w:val="24"/>
            <w:lang w:eastAsia="en-GB"/>
            <w14:ligatures w14:val="standardContextual"/>
          </w:rPr>
          <w:tab/>
        </w:r>
        <w:r w:rsidRPr="001C7449">
          <w:rPr>
            <w:rStyle w:val="Hyperlink"/>
            <w:noProof/>
          </w:rPr>
          <w:t>Air Quality Management Areas</w:t>
        </w:r>
        <w:r>
          <w:rPr>
            <w:noProof/>
            <w:webHidden/>
          </w:rPr>
          <w:tab/>
        </w:r>
        <w:r>
          <w:rPr>
            <w:noProof/>
            <w:webHidden/>
          </w:rPr>
          <w:fldChar w:fldCharType="begin"/>
        </w:r>
        <w:r>
          <w:rPr>
            <w:noProof/>
            <w:webHidden/>
          </w:rPr>
          <w:instrText xml:space="preserve"> PAGEREF _Toc222131859 \h </w:instrText>
        </w:r>
        <w:r>
          <w:rPr>
            <w:noProof/>
            <w:webHidden/>
          </w:rPr>
        </w:r>
        <w:r>
          <w:rPr>
            <w:noProof/>
            <w:webHidden/>
          </w:rPr>
          <w:fldChar w:fldCharType="separate"/>
        </w:r>
        <w:r>
          <w:rPr>
            <w:noProof/>
            <w:webHidden/>
          </w:rPr>
          <w:t>2</w:t>
        </w:r>
        <w:r>
          <w:rPr>
            <w:noProof/>
            <w:webHidden/>
          </w:rPr>
          <w:fldChar w:fldCharType="end"/>
        </w:r>
      </w:hyperlink>
    </w:p>
    <w:p w14:paraId="474CE5AB" w14:textId="56A204AA"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0" w:history="1">
        <w:r w:rsidRPr="001C7449">
          <w:rPr>
            <w:rStyle w:val="Hyperlink"/>
            <w:noProof/>
          </w:rPr>
          <w:t>2.2</w:t>
        </w:r>
        <w:r>
          <w:rPr>
            <w:rFonts w:asciiTheme="minorHAnsi" w:eastAsiaTheme="minorEastAsia" w:hAnsiTheme="minorHAnsi" w:cstheme="minorBidi"/>
            <w:noProof/>
            <w:kern w:val="2"/>
            <w:sz w:val="24"/>
            <w:lang w:eastAsia="en-GB"/>
            <w14:ligatures w14:val="standardContextual"/>
          </w:rPr>
          <w:tab/>
        </w:r>
        <w:r w:rsidRPr="001C7449">
          <w:rPr>
            <w:rStyle w:val="Hyperlink"/>
            <w:noProof/>
          </w:rPr>
          <w:t>Clean Air Zone</w:t>
        </w:r>
        <w:r>
          <w:rPr>
            <w:noProof/>
            <w:webHidden/>
          </w:rPr>
          <w:tab/>
        </w:r>
        <w:r>
          <w:rPr>
            <w:noProof/>
            <w:webHidden/>
          </w:rPr>
          <w:fldChar w:fldCharType="begin"/>
        </w:r>
        <w:r>
          <w:rPr>
            <w:noProof/>
            <w:webHidden/>
          </w:rPr>
          <w:instrText xml:space="preserve"> PAGEREF _Toc222131860 \h </w:instrText>
        </w:r>
        <w:r>
          <w:rPr>
            <w:noProof/>
            <w:webHidden/>
          </w:rPr>
        </w:r>
        <w:r>
          <w:rPr>
            <w:noProof/>
            <w:webHidden/>
          </w:rPr>
          <w:fldChar w:fldCharType="separate"/>
        </w:r>
        <w:r>
          <w:rPr>
            <w:noProof/>
            <w:webHidden/>
          </w:rPr>
          <w:t>4</w:t>
        </w:r>
        <w:r>
          <w:rPr>
            <w:noProof/>
            <w:webHidden/>
          </w:rPr>
          <w:fldChar w:fldCharType="end"/>
        </w:r>
      </w:hyperlink>
    </w:p>
    <w:p w14:paraId="6C13A410" w14:textId="48C9F063"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1" w:history="1">
        <w:r w:rsidRPr="001C7449">
          <w:rPr>
            <w:rStyle w:val="Hyperlink"/>
            <w:noProof/>
          </w:rPr>
          <w:t>2.3</w:t>
        </w:r>
        <w:r>
          <w:rPr>
            <w:rFonts w:asciiTheme="minorHAnsi" w:eastAsiaTheme="minorEastAsia" w:hAnsiTheme="minorHAnsi" w:cstheme="minorBidi"/>
            <w:noProof/>
            <w:kern w:val="2"/>
            <w:sz w:val="24"/>
            <w:lang w:eastAsia="en-GB"/>
            <w14:ligatures w14:val="standardContextual"/>
          </w:rPr>
          <w:tab/>
        </w:r>
        <w:r w:rsidRPr="001C7449">
          <w:rPr>
            <w:rStyle w:val="Hyperlink"/>
            <w:noProof/>
          </w:rPr>
          <w:t>Public Exposure</w:t>
        </w:r>
        <w:r>
          <w:rPr>
            <w:noProof/>
            <w:webHidden/>
          </w:rPr>
          <w:tab/>
        </w:r>
        <w:r>
          <w:rPr>
            <w:noProof/>
            <w:webHidden/>
          </w:rPr>
          <w:fldChar w:fldCharType="begin"/>
        </w:r>
        <w:r>
          <w:rPr>
            <w:noProof/>
            <w:webHidden/>
          </w:rPr>
          <w:instrText xml:space="preserve"> PAGEREF _Toc222131861 \h </w:instrText>
        </w:r>
        <w:r>
          <w:rPr>
            <w:noProof/>
            <w:webHidden/>
          </w:rPr>
        </w:r>
        <w:r>
          <w:rPr>
            <w:noProof/>
            <w:webHidden/>
          </w:rPr>
          <w:fldChar w:fldCharType="separate"/>
        </w:r>
        <w:r>
          <w:rPr>
            <w:noProof/>
            <w:webHidden/>
          </w:rPr>
          <w:t>4</w:t>
        </w:r>
        <w:r>
          <w:rPr>
            <w:noProof/>
            <w:webHidden/>
          </w:rPr>
          <w:fldChar w:fldCharType="end"/>
        </w:r>
      </w:hyperlink>
    </w:p>
    <w:p w14:paraId="4889FCF0" w14:textId="5FD75224"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62" w:history="1">
        <w:r w:rsidRPr="001C7449">
          <w:rPr>
            <w:rStyle w:val="Hyperlink"/>
            <w:noProof/>
          </w:rPr>
          <w:t>3</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Newcastle City Council’s Air Quality Priorities</w:t>
        </w:r>
        <w:r>
          <w:rPr>
            <w:noProof/>
            <w:webHidden/>
          </w:rPr>
          <w:tab/>
        </w:r>
        <w:r>
          <w:rPr>
            <w:noProof/>
            <w:webHidden/>
          </w:rPr>
          <w:fldChar w:fldCharType="begin"/>
        </w:r>
        <w:r>
          <w:rPr>
            <w:noProof/>
            <w:webHidden/>
          </w:rPr>
          <w:instrText xml:space="preserve"> PAGEREF _Toc222131862 \h </w:instrText>
        </w:r>
        <w:r>
          <w:rPr>
            <w:noProof/>
            <w:webHidden/>
          </w:rPr>
        </w:r>
        <w:r>
          <w:rPr>
            <w:noProof/>
            <w:webHidden/>
          </w:rPr>
          <w:fldChar w:fldCharType="separate"/>
        </w:r>
        <w:r>
          <w:rPr>
            <w:noProof/>
            <w:webHidden/>
          </w:rPr>
          <w:t>10</w:t>
        </w:r>
        <w:r>
          <w:rPr>
            <w:noProof/>
            <w:webHidden/>
          </w:rPr>
          <w:fldChar w:fldCharType="end"/>
        </w:r>
      </w:hyperlink>
    </w:p>
    <w:p w14:paraId="70B9583A" w14:textId="0D305EF1"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3" w:history="1">
        <w:r w:rsidRPr="001C7449">
          <w:rPr>
            <w:rStyle w:val="Hyperlink"/>
            <w:noProof/>
          </w:rPr>
          <w:t>3.1</w:t>
        </w:r>
        <w:r>
          <w:rPr>
            <w:rFonts w:asciiTheme="minorHAnsi" w:eastAsiaTheme="minorEastAsia" w:hAnsiTheme="minorHAnsi" w:cstheme="minorBidi"/>
            <w:noProof/>
            <w:kern w:val="2"/>
            <w:sz w:val="24"/>
            <w:lang w:eastAsia="en-GB"/>
            <w14:ligatures w14:val="standardContextual"/>
          </w:rPr>
          <w:tab/>
        </w:r>
        <w:r w:rsidRPr="001C7449">
          <w:rPr>
            <w:rStyle w:val="Hyperlink"/>
            <w:noProof/>
          </w:rPr>
          <w:t>Public Health Context</w:t>
        </w:r>
        <w:r>
          <w:rPr>
            <w:noProof/>
            <w:webHidden/>
          </w:rPr>
          <w:tab/>
        </w:r>
        <w:r>
          <w:rPr>
            <w:noProof/>
            <w:webHidden/>
          </w:rPr>
          <w:fldChar w:fldCharType="begin"/>
        </w:r>
        <w:r>
          <w:rPr>
            <w:noProof/>
            <w:webHidden/>
          </w:rPr>
          <w:instrText xml:space="preserve"> PAGEREF _Toc222131863 \h </w:instrText>
        </w:r>
        <w:r>
          <w:rPr>
            <w:noProof/>
            <w:webHidden/>
          </w:rPr>
        </w:r>
        <w:r>
          <w:rPr>
            <w:noProof/>
            <w:webHidden/>
          </w:rPr>
          <w:fldChar w:fldCharType="separate"/>
        </w:r>
        <w:r>
          <w:rPr>
            <w:noProof/>
            <w:webHidden/>
          </w:rPr>
          <w:t>10</w:t>
        </w:r>
        <w:r>
          <w:rPr>
            <w:noProof/>
            <w:webHidden/>
          </w:rPr>
          <w:fldChar w:fldCharType="end"/>
        </w:r>
      </w:hyperlink>
    </w:p>
    <w:p w14:paraId="117AAF7F" w14:textId="6CE4DC93"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4" w:history="1">
        <w:r w:rsidRPr="001C7449">
          <w:rPr>
            <w:rStyle w:val="Hyperlink"/>
            <w:noProof/>
          </w:rPr>
          <w:t>3.2</w:t>
        </w:r>
        <w:r>
          <w:rPr>
            <w:rFonts w:asciiTheme="minorHAnsi" w:eastAsiaTheme="minorEastAsia" w:hAnsiTheme="minorHAnsi" w:cstheme="minorBidi"/>
            <w:noProof/>
            <w:kern w:val="2"/>
            <w:sz w:val="24"/>
            <w:lang w:eastAsia="en-GB"/>
            <w14:ligatures w14:val="standardContextual"/>
          </w:rPr>
          <w:tab/>
        </w:r>
        <w:r w:rsidRPr="001C7449">
          <w:rPr>
            <w:rStyle w:val="Hyperlink"/>
            <w:noProof/>
          </w:rPr>
          <w:t>Planning and Policy Context</w:t>
        </w:r>
        <w:r>
          <w:rPr>
            <w:noProof/>
            <w:webHidden/>
          </w:rPr>
          <w:tab/>
        </w:r>
        <w:r>
          <w:rPr>
            <w:noProof/>
            <w:webHidden/>
          </w:rPr>
          <w:fldChar w:fldCharType="begin"/>
        </w:r>
        <w:r>
          <w:rPr>
            <w:noProof/>
            <w:webHidden/>
          </w:rPr>
          <w:instrText xml:space="preserve"> PAGEREF _Toc222131864 \h </w:instrText>
        </w:r>
        <w:r>
          <w:rPr>
            <w:noProof/>
            <w:webHidden/>
          </w:rPr>
        </w:r>
        <w:r>
          <w:rPr>
            <w:noProof/>
            <w:webHidden/>
          </w:rPr>
          <w:fldChar w:fldCharType="separate"/>
        </w:r>
        <w:r>
          <w:rPr>
            <w:noProof/>
            <w:webHidden/>
          </w:rPr>
          <w:t>11</w:t>
        </w:r>
        <w:r>
          <w:rPr>
            <w:noProof/>
            <w:webHidden/>
          </w:rPr>
          <w:fldChar w:fldCharType="end"/>
        </w:r>
      </w:hyperlink>
    </w:p>
    <w:p w14:paraId="2AAB4985" w14:textId="42C2618A"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5" w:history="1">
        <w:r w:rsidRPr="001C7449">
          <w:rPr>
            <w:rStyle w:val="Hyperlink"/>
            <w:noProof/>
          </w:rPr>
          <w:t>3.3</w:t>
        </w:r>
        <w:r>
          <w:rPr>
            <w:rFonts w:asciiTheme="minorHAnsi" w:eastAsiaTheme="minorEastAsia" w:hAnsiTheme="minorHAnsi" w:cstheme="minorBidi"/>
            <w:noProof/>
            <w:kern w:val="2"/>
            <w:sz w:val="24"/>
            <w:lang w:eastAsia="en-GB"/>
            <w14:ligatures w14:val="standardContextual"/>
          </w:rPr>
          <w:tab/>
        </w:r>
        <w:r w:rsidRPr="001C7449">
          <w:rPr>
            <w:rStyle w:val="Hyperlink"/>
            <w:noProof/>
          </w:rPr>
          <w:t>Source Apportionment</w:t>
        </w:r>
        <w:r>
          <w:rPr>
            <w:noProof/>
            <w:webHidden/>
          </w:rPr>
          <w:tab/>
        </w:r>
        <w:r>
          <w:rPr>
            <w:noProof/>
            <w:webHidden/>
          </w:rPr>
          <w:fldChar w:fldCharType="begin"/>
        </w:r>
        <w:r>
          <w:rPr>
            <w:noProof/>
            <w:webHidden/>
          </w:rPr>
          <w:instrText xml:space="preserve"> PAGEREF _Toc222131865 \h </w:instrText>
        </w:r>
        <w:r>
          <w:rPr>
            <w:noProof/>
            <w:webHidden/>
          </w:rPr>
        </w:r>
        <w:r>
          <w:rPr>
            <w:noProof/>
            <w:webHidden/>
          </w:rPr>
          <w:fldChar w:fldCharType="separate"/>
        </w:r>
        <w:r>
          <w:rPr>
            <w:noProof/>
            <w:webHidden/>
          </w:rPr>
          <w:t>13</w:t>
        </w:r>
        <w:r>
          <w:rPr>
            <w:noProof/>
            <w:webHidden/>
          </w:rPr>
          <w:fldChar w:fldCharType="end"/>
        </w:r>
      </w:hyperlink>
    </w:p>
    <w:p w14:paraId="08303781" w14:textId="3CCD68CF" w:rsidR="005267DE" w:rsidRDefault="005267DE">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222131866" w:history="1">
        <w:r w:rsidRPr="001C7449">
          <w:rPr>
            <w:rStyle w:val="Hyperlink"/>
            <w:noProof/>
          </w:rPr>
          <w:t>3.3.1</w:t>
        </w:r>
        <w:r>
          <w:rPr>
            <w:rFonts w:asciiTheme="minorHAnsi" w:eastAsiaTheme="minorEastAsia" w:hAnsiTheme="minorHAnsi" w:cstheme="minorBidi"/>
            <w:noProof/>
            <w:kern w:val="2"/>
            <w:lang w:eastAsia="en-GB"/>
            <w14:ligatures w14:val="standardContextual"/>
          </w:rPr>
          <w:tab/>
        </w:r>
        <w:r w:rsidRPr="001C7449">
          <w:rPr>
            <w:rStyle w:val="Hyperlink"/>
            <w:noProof/>
          </w:rPr>
          <w:t>Automatic Number Plate Recognition Analysis</w:t>
        </w:r>
        <w:r>
          <w:rPr>
            <w:noProof/>
            <w:webHidden/>
          </w:rPr>
          <w:tab/>
        </w:r>
        <w:r>
          <w:rPr>
            <w:noProof/>
            <w:webHidden/>
          </w:rPr>
          <w:fldChar w:fldCharType="begin"/>
        </w:r>
        <w:r>
          <w:rPr>
            <w:noProof/>
            <w:webHidden/>
          </w:rPr>
          <w:instrText xml:space="preserve"> PAGEREF _Toc222131866 \h </w:instrText>
        </w:r>
        <w:r>
          <w:rPr>
            <w:noProof/>
            <w:webHidden/>
          </w:rPr>
        </w:r>
        <w:r>
          <w:rPr>
            <w:noProof/>
            <w:webHidden/>
          </w:rPr>
          <w:fldChar w:fldCharType="separate"/>
        </w:r>
        <w:r>
          <w:rPr>
            <w:noProof/>
            <w:webHidden/>
          </w:rPr>
          <w:t>13</w:t>
        </w:r>
        <w:r>
          <w:rPr>
            <w:noProof/>
            <w:webHidden/>
          </w:rPr>
          <w:fldChar w:fldCharType="end"/>
        </w:r>
      </w:hyperlink>
    </w:p>
    <w:p w14:paraId="3CCE0E94" w14:textId="77B6E158" w:rsidR="005267DE" w:rsidRDefault="005267DE">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222131867" w:history="1">
        <w:r w:rsidRPr="001C7449">
          <w:rPr>
            <w:rStyle w:val="Hyperlink"/>
            <w:noProof/>
          </w:rPr>
          <w:t>3.3.2</w:t>
        </w:r>
        <w:r>
          <w:rPr>
            <w:rFonts w:asciiTheme="minorHAnsi" w:eastAsiaTheme="minorEastAsia" w:hAnsiTheme="minorHAnsi" w:cstheme="minorBidi"/>
            <w:noProof/>
            <w:kern w:val="2"/>
            <w:lang w:eastAsia="en-GB"/>
            <w14:ligatures w14:val="standardContextual"/>
          </w:rPr>
          <w:tab/>
        </w:r>
        <w:r w:rsidRPr="001C7449">
          <w:rPr>
            <w:rStyle w:val="Hyperlink"/>
            <w:noProof/>
          </w:rPr>
          <w:t xml:space="preserve">Road Traffic Data Source Apportionment </w:t>
        </w:r>
        <w:r w:rsidRPr="001C7449">
          <w:rPr>
            <w:rStyle w:val="Hyperlink"/>
            <w:rFonts w:eastAsia="Arial"/>
            <w:noProof/>
            <w:kern w:val="18"/>
            <w:lang w:val="en-IE"/>
          </w:rPr>
          <w:t>NO</w:t>
        </w:r>
        <w:r w:rsidRPr="001C7449">
          <w:rPr>
            <w:rStyle w:val="Hyperlink"/>
            <w:rFonts w:eastAsia="Arial"/>
            <w:noProof/>
            <w:kern w:val="18"/>
            <w:vertAlign w:val="subscript"/>
            <w:lang w:val="en-IE"/>
          </w:rPr>
          <w:t>2</w:t>
        </w:r>
        <w:r>
          <w:rPr>
            <w:noProof/>
            <w:webHidden/>
          </w:rPr>
          <w:tab/>
        </w:r>
        <w:r>
          <w:rPr>
            <w:noProof/>
            <w:webHidden/>
          </w:rPr>
          <w:fldChar w:fldCharType="begin"/>
        </w:r>
        <w:r>
          <w:rPr>
            <w:noProof/>
            <w:webHidden/>
          </w:rPr>
          <w:instrText xml:space="preserve"> PAGEREF _Toc222131867 \h </w:instrText>
        </w:r>
        <w:r>
          <w:rPr>
            <w:noProof/>
            <w:webHidden/>
          </w:rPr>
        </w:r>
        <w:r>
          <w:rPr>
            <w:noProof/>
            <w:webHidden/>
          </w:rPr>
          <w:fldChar w:fldCharType="separate"/>
        </w:r>
        <w:r>
          <w:rPr>
            <w:noProof/>
            <w:webHidden/>
          </w:rPr>
          <w:t>17</w:t>
        </w:r>
        <w:r>
          <w:rPr>
            <w:noProof/>
            <w:webHidden/>
          </w:rPr>
          <w:fldChar w:fldCharType="end"/>
        </w:r>
      </w:hyperlink>
    </w:p>
    <w:p w14:paraId="48121EE1" w14:textId="3970170A" w:rsidR="005267DE" w:rsidRDefault="005267DE">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222131868" w:history="1">
        <w:r w:rsidRPr="001C7449">
          <w:rPr>
            <w:rStyle w:val="Hyperlink"/>
            <w:noProof/>
          </w:rPr>
          <w:t>3.3.3</w:t>
        </w:r>
        <w:r>
          <w:rPr>
            <w:rFonts w:asciiTheme="minorHAnsi" w:eastAsiaTheme="minorEastAsia" w:hAnsiTheme="minorHAnsi" w:cstheme="minorBidi"/>
            <w:noProof/>
            <w:kern w:val="2"/>
            <w:lang w:eastAsia="en-GB"/>
            <w14:ligatures w14:val="standardContextual"/>
          </w:rPr>
          <w:tab/>
        </w:r>
        <w:r w:rsidRPr="001C7449">
          <w:rPr>
            <w:rStyle w:val="Hyperlink"/>
            <w:noProof/>
          </w:rPr>
          <w:t xml:space="preserve">Road Traffic Data Source Apportionment </w:t>
        </w:r>
        <w:r w:rsidRPr="001C7449">
          <w:rPr>
            <w:rStyle w:val="Hyperlink"/>
            <w:rFonts w:eastAsia="Arial"/>
            <w:noProof/>
            <w:kern w:val="18"/>
            <w:lang w:val="en-IE"/>
          </w:rPr>
          <w:t>PM</w:t>
        </w:r>
        <w:r w:rsidRPr="001C7449">
          <w:rPr>
            <w:rStyle w:val="Hyperlink"/>
            <w:rFonts w:eastAsia="Arial"/>
            <w:noProof/>
            <w:kern w:val="18"/>
            <w:vertAlign w:val="subscript"/>
            <w:lang w:val="en-IE"/>
          </w:rPr>
          <w:t>10</w:t>
        </w:r>
        <w:r w:rsidRPr="001C7449">
          <w:rPr>
            <w:rStyle w:val="Hyperlink"/>
            <w:rFonts w:eastAsia="Arial"/>
            <w:noProof/>
            <w:kern w:val="18"/>
            <w:lang w:val="en-IE"/>
          </w:rPr>
          <w:t xml:space="preserve"> and PM</w:t>
        </w:r>
        <w:r w:rsidRPr="001C7449">
          <w:rPr>
            <w:rStyle w:val="Hyperlink"/>
            <w:rFonts w:eastAsia="Arial"/>
            <w:noProof/>
            <w:kern w:val="18"/>
            <w:vertAlign w:val="subscript"/>
            <w:lang w:val="en-IE"/>
          </w:rPr>
          <w:t>2.5</w:t>
        </w:r>
        <w:r>
          <w:rPr>
            <w:noProof/>
            <w:webHidden/>
          </w:rPr>
          <w:tab/>
        </w:r>
        <w:r>
          <w:rPr>
            <w:noProof/>
            <w:webHidden/>
          </w:rPr>
          <w:fldChar w:fldCharType="begin"/>
        </w:r>
        <w:r>
          <w:rPr>
            <w:noProof/>
            <w:webHidden/>
          </w:rPr>
          <w:instrText xml:space="preserve"> PAGEREF _Toc222131868 \h </w:instrText>
        </w:r>
        <w:r>
          <w:rPr>
            <w:noProof/>
            <w:webHidden/>
          </w:rPr>
        </w:r>
        <w:r>
          <w:rPr>
            <w:noProof/>
            <w:webHidden/>
          </w:rPr>
          <w:fldChar w:fldCharType="separate"/>
        </w:r>
        <w:r>
          <w:rPr>
            <w:noProof/>
            <w:webHidden/>
          </w:rPr>
          <w:t>21</w:t>
        </w:r>
        <w:r>
          <w:rPr>
            <w:noProof/>
            <w:webHidden/>
          </w:rPr>
          <w:fldChar w:fldCharType="end"/>
        </w:r>
      </w:hyperlink>
    </w:p>
    <w:p w14:paraId="7A3772C7" w14:textId="111893B2"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69" w:history="1">
        <w:r w:rsidRPr="001C7449">
          <w:rPr>
            <w:rStyle w:val="Hyperlink"/>
            <w:noProof/>
          </w:rPr>
          <w:t>3.4</w:t>
        </w:r>
        <w:r>
          <w:rPr>
            <w:rFonts w:asciiTheme="minorHAnsi" w:eastAsiaTheme="minorEastAsia" w:hAnsiTheme="minorHAnsi" w:cstheme="minorBidi"/>
            <w:noProof/>
            <w:kern w:val="2"/>
            <w:sz w:val="24"/>
            <w:lang w:eastAsia="en-GB"/>
            <w14:ligatures w14:val="standardContextual"/>
          </w:rPr>
          <w:tab/>
        </w:r>
        <w:r w:rsidRPr="001C7449">
          <w:rPr>
            <w:rStyle w:val="Hyperlink"/>
            <w:noProof/>
          </w:rPr>
          <w:t>Required Reduction in Emissions</w:t>
        </w:r>
        <w:r>
          <w:rPr>
            <w:noProof/>
            <w:webHidden/>
          </w:rPr>
          <w:tab/>
        </w:r>
        <w:r>
          <w:rPr>
            <w:noProof/>
            <w:webHidden/>
          </w:rPr>
          <w:fldChar w:fldCharType="begin"/>
        </w:r>
        <w:r>
          <w:rPr>
            <w:noProof/>
            <w:webHidden/>
          </w:rPr>
          <w:instrText xml:space="preserve"> PAGEREF _Toc222131869 \h </w:instrText>
        </w:r>
        <w:r>
          <w:rPr>
            <w:noProof/>
            <w:webHidden/>
          </w:rPr>
        </w:r>
        <w:r>
          <w:rPr>
            <w:noProof/>
            <w:webHidden/>
          </w:rPr>
          <w:fldChar w:fldCharType="separate"/>
        </w:r>
        <w:r>
          <w:rPr>
            <w:noProof/>
            <w:webHidden/>
          </w:rPr>
          <w:t>25</w:t>
        </w:r>
        <w:r>
          <w:rPr>
            <w:noProof/>
            <w:webHidden/>
          </w:rPr>
          <w:fldChar w:fldCharType="end"/>
        </w:r>
      </w:hyperlink>
    </w:p>
    <w:p w14:paraId="3C3B42B7" w14:textId="102A4DF7" w:rsidR="005267DE" w:rsidRDefault="005267DE">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222131870" w:history="1">
        <w:r w:rsidRPr="001C7449">
          <w:rPr>
            <w:rStyle w:val="Hyperlink"/>
            <w:noProof/>
          </w:rPr>
          <w:t>3.4.1</w:t>
        </w:r>
        <w:r>
          <w:rPr>
            <w:rFonts w:asciiTheme="minorHAnsi" w:eastAsiaTheme="minorEastAsia" w:hAnsiTheme="minorHAnsi" w:cstheme="minorBidi"/>
            <w:noProof/>
            <w:kern w:val="2"/>
            <w:lang w:eastAsia="en-GB"/>
            <w14:ligatures w14:val="standardContextual"/>
          </w:rPr>
          <w:tab/>
        </w:r>
        <w:r w:rsidRPr="001C7449">
          <w:rPr>
            <w:rStyle w:val="Hyperlink"/>
            <w:noProof/>
          </w:rPr>
          <w:t>Required Reduction</w:t>
        </w:r>
        <w:r>
          <w:rPr>
            <w:noProof/>
            <w:webHidden/>
          </w:rPr>
          <w:tab/>
        </w:r>
        <w:r>
          <w:rPr>
            <w:noProof/>
            <w:webHidden/>
          </w:rPr>
          <w:fldChar w:fldCharType="begin"/>
        </w:r>
        <w:r>
          <w:rPr>
            <w:noProof/>
            <w:webHidden/>
          </w:rPr>
          <w:instrText xml:space="preserve"> PAGEREF _Toc222131870 \h </w:instrText>
        </w:r>
        <w:r>
          <w:rPr>
            <w:noProof/>
            <w:webHidden/>
          </w:rPr>
        </w:r>
        <w:r>
          <w:rPr>
            <w:noProof/>
            <w:webHidden/>
          </w:rPr>
          <w:fldChar w:fldCharType="separate"/>
        </w:r>
        <w:r>
          <w:rPr>
            <w:noProof/>
            <w:webHidden/>
          </w:rPr>
          <w:t>25</w:t>
        </w:r>
        <w:r>
          <w:rPr>
            <w:noProof/>
            <w:webHidden/>
          </w:rPr>
          <w:fldChar w:fldCharType="end"/>
        </w:r>
      </w:hyperlink>
    </w:p>
    <w:p w14:paraId="487B3B39" w14:textId="3F8E0E33" w:rsidR="005267DE" w:rsidRDefault="005267DE">
      <w:pPr>
        <w:pStyle w:val="TOC3"/>
        <w:tabs>
          <w:tab w:val="left" w:pos="1400"/>
          <w:tab w:val="right" w:leader="dot" w:pos="9060"/>
        </w:tabs>
        <w:rPr>
          <w:rFonts w:asciiTheme="minorHAnsi" w:eastAsiaTheme="minorEastAsia" w:hAnsiTheme="minorHAnsi" w:cstheme="minorBidi"/>
          <w:noProof/>
          <w:kern w:val="2"/>
          <w:lang w:eastAsia="en-GB"/>
          <w14:ligatures w14:val="standardContextual"/>
        </w:rPr>
      </w:pPr>
      <w:hyperlink w:anchor="_Toc222131871" w:history="1">
        <w:r w:rsidRPr="001C7449">
          <w:rPr>
            <w:rStyle w:val="Hyperlink"/>
            <w:noProof/>
          </w:rPr>
          <w:t>3.4.2</w:t>
        </w:r>
        <w:r>
          <w:rPr>
            <w:rFonts w:asciiTheme="minorHAnsi" w:eastAsiaTheme="minorEastAsia" w:hAnsiTheme="minorHAnsi" w:cstheme="minorBidi"/>
            <w:noProof/>
            <w:kern w:val="2"/>
            <w:lang w:eastAsia="en-GB"/>
            <w14:ligatures w14:val="standardContextual"/>
          </w:rPr>
          <w:tab/>
        </w:r>
        <w:r w:rsidRPr="001C7449">
          <w:rPr>
            <w:rStyle w:val="Hyperlink"/>
            <w:noProof/>
          </w:rPr>
          <w:t>Future Baselining</w:t>
        </w:r>
        <w:r>
          <w:rPr>
            <w:noProof/>
            <w:webHidden/>
          </w:rPr>
          <w:tab/>
        </w:r>
        <w:r>
          <w:rPr>
            <w:noProof/>
            <w:webHidden/>
          </w:rPr>
          <w:fldChar w:fldCharType="begin"/>
        </w:r>
        <w:r>
          <w:rPr>
            <w:noProof/>
            <w:webHidden/>
          </w:rPr>
          <w:instrText xml:space="preserve"> PAGEREF _Toc222131871 \h </w:instrText>
        </w:r>
        <w:r>
          <w:rPr>
            <w:noProof/>
            <w:webHidden/>
          </w:rPr>
        </w:r>
        <w:r>
          <w:rPr>
            <w:noProof/>
            <w:webHidden/>
          </w:rPr>
          <w:fldChar w:fldCharType="separate"/>
        </w:r>
        <w:r>
          <w:rPr>
            <w:noProof/>
            <w:webHidden/>
          </w:rPr>
          <w:t>26</w:t>
        </w:r>
        <w:r>
          <w:rPr>
            <w:noProof/>
            <w:webHidden/>
          </w:rPr>
          <w:fldChar w:fldCharType="end"/>
        </w:r>
      </w:hyperlink>
    </w:p>
    <w:p w14:paraId="3A9BE441" w14:textId="32230E39"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2" w:history="1">
        <w:r w:rsidRPr="001C7449">
          <w:rPr>
            <w:rStyle w:val="Hyperlink"/>
            <w:noProof/>
          </w:rPr>
          <w:t>3.5</w:t>
        </w:r>
        <w:r>
          <w:rPr>
            <w:rFonts w:asciiTheme="minorHAnsi" w:eastAsiaTheme="minorEastAsia" w:hAnsiTheme="minorHAnsi" w:cstheme="minorBidi"/>
            <w:noProof/>
            <w:kern w:val="2"/>
            <w:sz w:val="24"/>
            <w:lang w:eastAsia="en-GB"/>
            <w14:ligatures w14:val="standardContextual"/>
          </w:rPr>
          <w:tab/>
        </w:r>
        <w:r w:rsidRPr="001C7449">
          <w:rPr>
            <w:rStyle w:val="Hyperlink"/>
            <w:noProof/>
          </w:rPr>
          <w:t>Key Priorities</w:t>
        </w:r>
        <w:r>
          <w:rPr>
            <w:noProof/>
            <w:webHidden/>
          </w:rPr>
          <w:tab/>
        </w:r>
        <w:r>
          <w:rPr>
            <w:noProof/>
            <w:webHidden/>
          </w:rPr>
          <w:fldChar w:fldCharType="begin"/>
        </w:r>
        <w:r>
          <w:rPr>
            <w:noProof/>
            <w:webHidden/>
          </w:rPr>
          <w:instrText xml:space="preserve"> PAGEREF _Toc222131872 \h </w:instrText>
        </w:r>
        <w:r>
          <w:rPr>
            <w:noProof/>
            <w:webHidden/>
          </w:rPr>
        </w:r>
        <w:r>
          <w:rPr>
            <w:noProof/>
            <w:webHidden/>
          </w:rPr>
          <w:fldChar w:fldCharType="separate"/>
        </w:r>
        <w:r>
          <w:rPr>
            <w:noProof/>
            <w:webHidden/>
          </w:rPr>
          <w:t>30</w:t>
        </w:r>
        <w:r>
          <w:rPr>
            <w:noProof/>
            <w:webHidden/>
          </w:rPr>
          <w:fldChar w:fldCharType="end"/>
        </w:r>
      </w:hyperlink>
    </w:p>
    <w:p w14:paraId="099076B2" w14:textId="4D173B80"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73" w:history="1">
        <w:r w:rsidRPr="001C7449">
          <w:rPr>
            <w:rStyle w:val="Hyperlink"/>
            <w:noProof/>
          </w:rPr>
          <w:t>4</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Development and Implementation of Newcastle City Council AQAP</w:t>
        </w:r>
        <w:r>
          <w:rPr>
            <w:noProof/>
            <w:webHidden/>
          </w:rPr>
          <w:tab/>
        </w:r>
        <w:r>
          <w:rPr>
            <w:noProof/>
            <w:webHidden/>
          </w:rPr>
          <w:fldChar w:fldCharType="begin"/>
        </w:r>
        <w:r>
          <w:rPr>
            <w:noProof/>
            <w:webHidden/>
          </w:rPr>
          <w:instrText xml:space="preserve"> PAGEREF _Toc222131873 \h </w:instrText>
        </w:r>
        <w:r>
          <w:rPr>
            <w:noProof/>
            <w:webHidden/>
          </w:rPr>
        </w:r>
        <w:r>
          <w:rPr>
            <w:noProof/>
            <w:webHidden/>
          </w:rPr>
          <w:fldChar w:fldCharType="separate"/>
        </w:r>
        <w:r>
          <w:rPr>
            <w:noProof/>
            <w:webHidden/>
          </w:rPr>
          <w:t>31</w:t>
        </w:r>
        <w:r>
          <w:rPr>
            <w:noProof/>
            <w:webHidden/>
          </w:rPr>
          <w:fldChar w:fldCharType="end"/>
        </w:r>
      </w:hyperlink>
    </w:p>
    <w:p w14:paraId="06263F6B" w14:textId="6A03D2EA"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4" w:history="1">
        <w:r w:rsidRPr="001C7449">
          <w:rPr>
            <w:rStyle w:val="Hyperlink"/>
            <w:noProof/>
          </w:rPr>
          <w:t>4.1</w:t>
        </w:r>
        <w:r>
          <w:rPr>
            <w:rFonts w:asciiTheme="minorHAnsi" w:eastAsiaTheme="minorEastAsia" w:hAnsiTheme="minorHAnsi" w:cstheme="minorBidi"/>
            <w:noProof/>
            <w:kern w:val="2"/>
            <w:sz w:val="24"/>
            <w:lang w:eastAsia="en-GB"/>
            <w14:ligatures w14:val="standardContextual"/>
          </w:rPr>
          <w:tab/>
        </w:r>
        <w:r w:rsidRPr="001C7449">
          <w:rPr>
            <w:rStyle w:val="Hyperlink"/>
            <w:noProof/>
          </w:rPr>
          <w:t>Consultation and Stakeholder Engagement</w:t>
        </w:r>
        <w:r>
          <w:rPr>
            <w:noProof/>
            <w:webHidden/>
          </w:rPr>
          <w:tab/>
        </w:r>
        <w:r>
          <w:rPr>
            <w:noProof/>
            <w:webHidden/>
          </w:rPr>
          <w:fldChar w:fldCharType="begin"/>
        </w:r>
        <w:r>
          <w:rPr>
            <w:noProof/>
            <w:webHidden/>
          </w:rPr>
          <w:instrText xml:space="preserve"> PAGEREF _Toc222131874 \h </w:instrText>
        </w:r>
        <w:r>
          <w:rPr>
            <w:noProof/>
            <w:webHidden/>
          </w:rPr>
        </w:r>
        <w:r>
          <w:rPr>
            <w:noProof/>
            <w:webHidden/>
          </w:rPr>
          <w:fldChar w:fldCharType="separate"/>
        </w:r>
        <w:r>
          <w:rPr>
            <w:noProof/>
            <w:webHidden/>
          </w:rPr>
          <w:t>31</w:t>
        </w:r>
        <w:r>
          <w:rPr>
            <w:noProof/>
            <w:webHidden/>
          </w:rPr>
          <w:fldChar w:fldCharType="end"/>
        </w:r>
      </w:hyperlink>
    </w:p>
    <w:p w14:paraId="045B9A8E" w14:textId="567AAD92"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5" w:history="1">
        <w:r w:rsidRPr="001C7449">
          <w:rPr>
            <w:rStyle w:val="Hyperlink"/>
            <w:noProof/>
          </w:rPr>
          <w:t>4.2</w:t>
        </w:r>
        <w:r>
          <w:rPr>
            <w:rFonts w:asciiTheme="minorHAnsi" w:eastAsiaTheme="minorEastAsia" w:hAnsiTheme="minorHAnsi" w:cstheme="minorBidi"/>
            <w:noProof/>
            <w:kern w:val="2"/>
            <w:sz w:val="24"/>
            <w:lang w:eastAsia="en-GB"/>
            <w14:ligatures w14:val="standardContextual"/>
          </w:rPr>
          <w:tab/>
        </w:r>
        <w:r w:rsidRPr="001C7449">
          <w:rPr>
            <w:rStyle w:val="Hyperlink"/>
            <w:noProof/>
          </w:rPr>
          <w:t>Steering Group</w:t>
        </w:r>
        <w:r>
          <w:rPr>
            <w:noProof/>
            <w:webHidden/>
          </w:rPr>
          <w:tab/>
        </w:r>
        <w:r>
          <w:rPr>
            <w:noProof/>
            <w:webHidden/>
          </w:rPr>
          <w:fldChar w:fldCharType="begin"/>
        </w:r>
        <w:r>
          <w:rPr>
            <w:noProof/>
            <w:webHidden/>
          </w:rPr>
          <w:instrText xml:space="preserve"> PAGEREF _Toc222131875 \h </w:instrText>
        </w:r>
        <w:r>
          <w:rPr>
            <w:noProof/>
            <w:webHidden/>
          </w:rPr>
        </w:r>
        <w:r>
          <w:rPr>
            <w:noProof/>
            <w:webHidden/>
          </w:rPr>
          <w:fldChar w:fldCharType="separate"/>
        </w:r>
        <w:r>
          <w:rPr>
            <w:noProof/>
            <w:webHidden/>
          </w:rPr>
          <w:t>32</w:t>
        </w:r>
        <w:r>
          <w:rPr>
            <w:noProof/>
            <w:webHidden/>
          </w:rPr>
          <w:fldChar w:fldCharType="end"/>
        </w:r>
      </w:hyperlink>
    </w:p>
    <w:p w14:paraId="4944F348" w14:textId="2ADD201E"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76" w:history="1">
        <w:r w:rsidRPr="001C7449">
          <w:rPr>
            <w:rStyle w:val="Hyperlink"/>
            <w:noProof/>
          </w:rPr>
          <w:t>5</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AQAP Measures</w:t>
        </w:r>
        <w:r>
          <w:rPr>
            <w:noProof/>
            <w:webHidden/>
          </w:rPr>
          <w:tab/>
        </w:r>
        <w:r>
          <w:rPr>
            <w:noProof/>
            <w:webHidden/>
          </w:rPr>
          <w:fldChar w:fldCharType="begin"/>
        </w:r>
        <w:r>
          <w:rPr>
            <w:noProof/>
            <w:webHidden/>
          </w:rPr>
          <w:instrText xml:space="preserve"> PAGEREF _Toc222131876 \h </w:instrText>
        </w:r>
        <w:r>
          <w:rPr>
            <w:noProof/>
            <w:webHidden/>
          </w:rPr>
        </w:r>
        <w:r>
          <w:rPr>
            <w:noProof/>
            <w:webHidden/>
          </w:rPr>
          <w:fldChar w:fldCharType="separate"/>
        </w:r>
        <w:r>
          <w:rPr>
            <w:noProof/>
            <w:webHidden/>
          </w:rPr>
          <w:t>33</w:t>
        </w:r>
        <w:r>
          <w:rPr>
            <w:noProof/>
            <w:webHidden/>
          </w:rPr>
          <w:fldChar w:fldCharType="end"/>
        </w:r>
      </w:hyperlink>
    </w:p>
    <w:p w14:paraId="7535E5BF" w14:textId="489F608B"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7" w:history="1">
        <w:r w:rsidRPr="001C7449">
          <w:rPr>
            <w:rStyle w:val="Hyperlink"/>
            <w:noProof/>
          </w:rPr>
          <w:t>5.1</w:t>
        </w:r>
        <w:r>
          <w:rPr>
            <w:rFonts w:asciiTheme="minorHAnsi" w:eastAsiaTheme="minorEastAsia" w:hAnsiTheme="minorHAnsi" w:cstheme="minorBidi"/>
            <w:noProof/>
            <w:kern w:val="2"/>
            <w:sz w:val="24"/>
            <w:lang w:eastAsia="en-GB"/>
            <w14:ligatures w14:val="standardContextual"/>
          </w:rPr>
          <w:tab/>
        </w:r>
        <w:r w:rsidRPr="001C7449">
          <w:rPr>
            <w:rStyle w:val="Hyperlink"/>
            <w:noProof/>
          </w:rPr>
          <w:t>Cost Benefit Analysis</w:t>
        </w:r>
        <w:r>
          <w:rPr>
            <w:noProof/>
            <w:webHidden/>
          </w:rPr>
          <w:tab/>
        </w:r>
        <w:r>
          <w:rPr>
            <w:noProof/>
            <w:webHidden/>
          </w:rPr>
          <w:fldChar w:fldCharType="begin"/>
        </w:r>
        <w:r>
          <w:rPr>
            <w:noProof/>
            <w:webHidden/>
          </w:rPr>
          <w:instrText xml:space="preserve"> PAGEREF _Toc222131877 \h </w:instrText>
        </w:r>
        <w:r>
          <w:rPr>
            <w:noProof/>
            <w:webHidden/>
          </w:rPr>
        </w:r>
        <w:r>
          <w:rPr>
            <w:noProof/>
            <w:webHidden/>
          </w:rPr>
          <w:fldChar w:fldCharType="separate"/>
        </w:r>
        <w:r>
          <w:rPr>
            <w:noProof/>
            <w:webHidden/>
          </w:rPr>
          <w:t>33</w:t>
        </w:r>
        <w:r>
          <w:rPr>
            <w:noProof/>
            <w:webHidden/>
          </w:rPr>
          <w:fldChar w:fldCharType="end"/>
        </w:r>
      </w:hyperlink>
    </w:p>
    <w:p w14:paraId="2FBBD35D" w14:textId="458E14E7"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8" w:history="1">
        <w:r w:rsidRPr="001C7449">
          <w:rPr>
            <w:rStyle w:val="Hyperlink"/>
            <w:noProof/>
          </w:rPr>
          <w:t>5.2</w:t>
        </w:r>
        <w:r>
          <w:rPr>
            <w:rFonts w:asciiTheme="minorHAnsi" w:eastAsiaTheme="minorEastAsia" w:hAnsiTheme="minorHAnsi" w:cstheme="minorBidi"/>
            <w:noProof/>
            <w:kern w:val="2"/>
            <w:sz w:val="24"/>
            <w:lang w:eastAsia="en-GB"/>
            <w14:ligatures w14:val="standardContextual"/>
          </w:rPr>
          <w:tab/>
        </w:r>
        <w:r w:rsidRPr="001C7449">
          <w:rPr>
            <w:rStyle w:val="Hyperlink"/>
            <w:noProof/>
          </w:rPr>
          <w:t>Timescales of the AQAP Measures</w:t>
        </w:r>
        <w:r>
          <w:rPr>
            <w:noProof/>
            <w:webHidden/>
          </w:rPr>
          <w:tab/>
        </w:r>
        <w:r>
          <w:rPr>
            <w:noProof/>
            <w:webHidden/>
          </w:rPr>
          <w:fldChar w:fldCharType="begin"/>
        </w:r>
        <w:r>
          <w:rPr>
            <w:noProof/>
            <w:webHidden/>
          </w:rPr>
          <w:instrText xml:space="preserve"> PAGEREF _Toc222131878 \h </w:instrText>
        </w:r>
        <w:r>
          <w:rPr>
            <w:noProof/>
            <w:webHidden/>
          </w:rPr>
        </w:r>
        <w:r>
          <w:rPr>
            <w:noProof/>
            <w:webHidden/>
          </w:rPr>
          <w:fldChar w:fldCharType="separate"/>
        </w:r>
        <w:r>
          <w:rPr>
            <w:noProof/>
            <w:webHidden/>
          </w:rPr>
          <w:t>40</w:t>
        </w:r>
        <w:r>
          <w:rPr>
            <w:noProof/>
            <w:webHidden/>
          </w:rPr>
          <w:fldChar w:fldCharType="end"/>
        </w:r>
      </w:hyperlink>
    </w:p>
    <w:p w14:paraId="53A85DBE" w14:textId="759A452E"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79" w:history="1">
        <w:r w:rsidRPr="001C7449">
          <w:rPr>
            <w:rStyle w:val="Hyperlink"/>
            <w:noProof/>
          </w:rPr>
          <w:t>5.3</w:t>
        </w:r>
        <w:r>
          <w:rPr>
            <w:rFonts w:asciiTheme="minorHAnsi" w:eastAsiaTheme="minorEastAsia" w:hAnsiTheme="minorHAnsi" w:cstheme="minorBidi"/>
            <w:noProof/>
            <w:kern w:val="2"/>
            <w:sz w:val="24"/>
            <w:lang w:eastAsia="en-GB"/>
            <w14:ligatures w14:val="standardContextual"/>
          </w:rPr>
          <w:tab/>
        </w:r>
        <w:r w:rsidRPr="001C7449">
          <w:rPr>
            <w:rStyle w:val="Hyperlink"/>
            <w:noProof/>
          </w:rPr>
          <w:t>Air Quality Partners</w:t>
        </w:r>
        <w:r>
          <w:rPr>
            <w:noProof/>
            <w:webHidden/>
          </w:rPr>
          <w:tab/>
        </w:r>
        <w:r>
          <w:rPr>
            <w:noProof/>
            <w:webHidden/>
          </w:rPr>
          <w:fldChar w:fldCharType="begin"/>
        </w:r>
        <w:r>
          <w:rPr>
            <w:noProof/>
            <w:webHidden/>
          </w:rPr>
          <w:instrText xml:space="preserve"> PAGEREF _Toc222131879 \h </w:instrText>
        </w:r>
        <w:r>
          <w:rPr>
            <w:noProof/>
            <w:webHidden/>
          </w:rPr>
        </w:r>
        <w:r>
          <w:rPr>
            <w:noProof/>
            <w:webHidden/>
          </w:rPr>
          <w:fldChar w:fldCharType="separate"/>
        </w:r>
        <w:r>
          <w:rPr>
            <w:noProof/>
            <w:webHidden/>
          </w:rPr>
          <w:t>40</w:t>
        </w:r>
        <w:r>
          <w:rPr>
            <w:noProof/>
            <w:webHidden/>
          </w:rPr>
          <w:fldChar w:fldCharType="end"/>
        </w:r>
      </w:hyperlink>
    </w:p>
    <w:p w14:paraId="7D211C62" w14:textId="17D20C1B"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0" w:history="1">
        <w:r w:rsidRPr="001C7449">
          <w:rPr>
            <w:rStyle w:val="Hyperlink"/>
            <w:noProof/>
          </w:rPr>
          <w:t>5.4</w:t>
        </w:r>
        <w:r>
          <w:rPr>
            <w:rFonts w:asciiTheme="minorHAnsi" w:eastAsiaTheme="minorEastAsia" w:hAnsiTheme="minorHAnsi" w:cstheme="minorBidi"/>
            <w:noProof/>
            <w:kern w:val="2"/>
            <w:sz w:val="24"/>
            <w:lang w:eastAsia="en-GB"/>
            <w14:ligatures w14:val="standardContextual"/>
          </w:rPr>
          <w:tab/>
        </w:r>
        <w:r w:rsidRPr="001C7449">
          <w:rPr>
            <w:rStyle w:val="Hyperlink"/>
            <w:noProof/>
          </w:rPr>
          <w:t>Maintaining Safe Air Quality</w:t>
        </w:r>
        <w:r>
          <w:rPr>
            <w:noProof/>
            <w:webHidden/>
          </w:rPr>
          <w:tab/>
        </w:r>
        <w:r>
          <w:rPr>
            <w:noProof/>
            <w:webHidden/>
          </w:rPr>
          <w:fldChar w:fldCharType="begin"/>
        </w:r>
        <w:r>
          <w:rPr>
            <w:noProof/>
            <w:webHidden/>
          </w:rPr>
          <w:instrText xml:space="preserve"> PAGEREF _Toc222131880 \h </w:instrText>
        </w:r>
        <w:r>
          <w:rPr>
            <w:noProof/>
            <w:webHidden/>
          </w:rPr>
        </w:r>
        <w:r>
          <w:rPr>
            <w:noProof/>
            <w:webHidden/>
          </w:rPr>
          <w:fldChar w:fldCharType="separate"/>
        </w:r>
        <w:r>
          <w:rPr>
            <w:noProof/>
            <w:webHidden/>
          </w:rPr>
          <w:t>40</w:t>
        </w:r>
        <w:r>
          <w:rPr>
            <w:noProof/>
            <w:webHidden/>
          </w:rPr>
          <w:fldChar w:fldCharType="end"/>
        </w:r>
      </w:hyperlink>
    </w:p>
    <w:p w14:paraId="7A4ADE0C" w14:textId="2B3F83CD" w:rsidR="005267DE" w:rsidRDefault="005267DE">
      <w:pPr>
        <w:pStyle w:val="TOC1"/>
        <w:tabs>
          <w:tab w:val="left" w:pos="567"/>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81" w:history="1">
        <w:r w:rsidRPr="001C7449">
          <w:rPr>
            <w:rStyle w:val="Hyperlink"/>
            <w:noProof/>
          </w:rPr>
          <w:t>6</w:t>
        </w:r>
        <w:r>
          <w:rPr>
            <w:rFonts w:asciiTheme="minorHAnsi" w:eastAsiaTheme="minorEastAsia" w:hAnsiTheme="minorHAnsi" w:cstheme="minorBidi"/>
            <w:b w:val="0"/>
            <w:noProof/>
            <w:color w:val="auto"/>
            <w:kern w:val="2"/>
            <w:lang w:eastAsia="en-GB"/>
            <w14:ligatures w14:val="standardContextual"/>
          </w:rPr>
          <w:tab/>
        </w:r>
        <w:r w:rsidRPr="001C7449">
          <w:rPr>
            <w:rStyle w:val="Hyperlink"/>
            <w:noProof/>
          </w:rPr>
          <w:t>Quantification of Measures</w:t>
        </w:r>
        <w:r>
          <w:rPr>
            <w:noProof/>
            <w:webHidden/>
          </w:rPr>
          <w:tab/>
        </w:r>
        <w:r>
          <w:rPr>
            <w:noProof/>
            <w:webHidden/>
          </w:rPr>
          <w:fldChar w:fldCharType="begin"/>
        </w:r>
        <w:r>
          <w:rPr>
            <w:noProof/>
            <w:webHidden/>
          </w:rPr>
          <w:instrText xml:space="preserve"> PAGEREF _Toc222131881 \h </w:instrText>
        </w:r>
        <w:r>
          <w:rPr>
            <w:noProof/>
            <w:webHidden/>
          </w:rPr>
        </w:r>
        <w:r>
          <w:rPr>
            <w:noProof/>
            <w:webHidden/>
          </w:rPr>
          <w:fldChar w:fldCharType="separate"/>
        </w:r>
        <w:r>
          <w:rPr>
            <w:noProof/>
            <w:webHidden/>
          </w:rPr>
          <w:t>41</w:t>
        </w:r>
        <w:r>
          <w:rPr>
            <w:noProof/>
            <w:webHidden/>
          </w:rPr>
          <w:fldChar w:fldCharType="end"/>
        </w:r>
      </w:hyperlink>
    </w:p>
    <w:p w14:paraId="25357BB4" w14:textId="0311A312"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2" w:history="1">
        <w:r w:rsidRPr="001C7449">
          <w:rPr>
            <w:rStyle w:val="Hyperlink"/>
            <w:noProof/>
          </w:rPr>
          <w:t>6.1</w:t>
        </w:r>
        <w:r>
          <w:rPr>
            <w:rFonts w:asciiTheme="minorHAnsi" w:eastAsiaTheme="minorEastAsia" w:hAnsiTheme="minorHAnsi" w:cstheme="minorBidi"/>
            <w:noProof/>
            <w:kern w:val="2"/>
            <w:sz w:val="24"/>
            <w:lang w:eastAsia="en-GB"/>
            <w14:ligatures w14:val="standardContextual"/>
          </w:rPr>
          <w:tab/>
        </w:r>
        <w:r w:rsidRPr="001C7449">
          <w:rPr>
            <w:rStyle w:val="Hyperlink"/>
            <w:noProof/>
          </w:rPr>
          <w:t>Measure 1 – Clean Air Zone</w:t>
        </w:r>
        <w:r>
          <w:rPr>
            <w:noProof/>
            <w:webHidden/>
          </w:rPr>
          <w:tab/>
        </w:r>
        <w:r>
          <w:rPr>
            <w:noProof/>
            <w:webHidden/>
          </w:rPr>
          <w:fldChar w:fldCharType="begin"/>
        </w:r>
        <w:r>
          <w:rPr>
            <w:noProof/>
            <w:webHidden/>
          </w:rPr>
          <w:instrText xml:space="preserve"> PAGEREF _Toc222131882 \h </w:instrText>
        </w:r>
        <w:r>
          <w:rPr>
            <w:noProof/>
            <w:webHidden/>
          </w:rPr>
        </w:r>
        <w:r>
          <w:rPr>
            <w:noProof/>
            <w:webHidden/>
          </w:rPr>
          <w:fldChar w:fldCharType="separate"/>
        </w:r>
        <w:r>
          <w:rPr>
            <w:noProof/>
            <w:webHidden/>
          </w:rPr>
          <w:t>41</w:t>
        </w:r>
        <w:r>
          <w:rPr>
            <w:noProof/>
            <w:webHidden/>
          </w:rPr>
          <w:fldChar w:fldCharType="end"/>
        </w:r>
      </w:hyperlink>
    </w:p>
    <w:p w14:paraId="0FD78049" w14:textId="45B9DFF4"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3" w:history="1">
        <w:r w:rsidRPr="001C7449">
          <w:rPr>
            <w:rStyle w:val="Hyperlink"/>
            <w:noProof/>
          </w:rPr>
          <w:t>6.2</w:t>
        </w:r>
        <w:r>
          <w:rPr>
            <w:rFonts w:asciiTheme="minorHAnsi" w:eastAsiaTheme="minorEastAsia" w:hAnsiTheme="minorHAnsi" w:cstheme="minorBidi"/>
            <w:noProof/>
            <w:kern w:val="2"/>
            <w:sz w:val="24"/>
            <w:lang w:eastAsia="en-GB"/>
            <w14:ligatures w14:val="standardContextual"/>
          </w:rPr>
          <w:tab/>
        </w:r>
        <w:r w:rsidRPr="001C7449">
          <w:rPr>
            <w:rStyle w:val="Hyperlink"/>
            <w:noProof/>
          </w:rPr>
          <w:t>Measure 2 – Electrifying the bus fleet</w:t>
        </w:r>
        <w:r>
          <w:rPr>
            <w:noProof/>
            <w:webHidden/>
          </w:rPr>
          <w:tab/>
        </w:r>
        <w:r>
          <w:rPr>
            <w:noProof/>
            <w:webHidden/>
          </w:rPr>
          <w:fldChar w:fldCharType="begin"/>
        </w:r>
        <w:r>
          <w:rPr>
            <w:noProof/>
            <w:webHidden/>
          </w:rPr>
          <w:instrText xml:space="preserve"> PAGEREF _Toc222131883 \h </w:instrText>
        </w:r>
        <w:r>
          <w:rPr>
            <w:noProof/>
            <w:webHidden/>
          </w:rPr>
        </w:r>
        <w:r>
          <w:rPr>
            <w:noProof/>
            <w:webHidden/>
          </w:rPr>
          <w:fldChar w:fldCharType="separate"/>
        </w:r>
        <w:r>
          <w:rPr>
            <w:noProof/>
            <w:webHidden/>
          </w:rPr>
          <w:t>44</w:t>
        </w:r>
        <w:r>
          <w:rPr>
            <w:noProof/>
            <w:webHidden/>
          </w:rPr>
          <w:fldChar w:fldCharType="end"/>
        </w:r>
      </w:hyperlink>
    </w:p>
    <w:p w14:paraId="59612677" w14:textId="2A67C49C"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4" w:history="1">
        <w:r w:rsidRPr="001C7449">
          <w:rPr>
            <w:rStyle w:val="Hyperlink"/>
            <w:noProof/>
          </w:rPr>
          <w:t>6.3</w:t>
        </w:r>
        <w:r>
          <w:rPr>
            <w:rFonts w:asciiTheme="minorHAnsi" w:eastAsiaTheme="minorEastAsia" w:hAnsiTheme="minorHAnsi" w:cstheme="minorBidi"/>
            <w:noProof/>
            <w:kern w:val="2"/>
            <w:sz w:val="24"/>
            <w:lang w:eastAsia="en-GB"/>
            <w14:ligatures w14:val="standardContextual"/>
          </w:rPr>
          <w:tab/>
        </w:r>
        <w:r w:rsidRPr="001C7449">
          <w:rPr>
            <w:rStyle w:val="Hyperlink"/>
            <w:noProof/>
          </w:rPr>
          <w:t>Measure 3 – Exposure Limitation at Stephenson Road</w:t>
        </w:r>
        <w:r>
          <w:rPr>
            <w:noProof/>
            <w:webHidden/>
          </w:rPr>
          <w:tab/>
        </w:r>
        <w:r>
          <w:rPr>
            <w:noProof/>
            <w:webHidden/>
          </w:rPr>
          <w:fldChar w:fldCharType="begin"/>
        </w:r>
        <w:r>
          <w:rPr>
            <w:noProof/>
            <w:webHidden/>
          </w:rPr>
          <w:instrText xml:space="preserve"> PAGEREF _Toc222131884 \h </w:instrText>
        </w:r>
        <w:r>
          <w:rPr>
            <w:noProof/>
            <w:webHidden/>
          </w:rPr>
        </w:r>
        <w:r>
          <w:rPr>
            <w:noProof/>
            <w:webHidden/>
          </w:rPr>
          <w:fldChar w:fldCharType="separate"/>
        </w:r>
        <w:r>
          <w:rPr>
            <w:noProof/>
            <w:webHidden/>
          </w:rPr>
          <w:t>47</w:t>
        </w:r>
        <w:r>
          <w:rPr>
            <w:noProof/>
            <w:webHidden/>
          </w:rPr>
          <w:fldChar w:fldCharType="end"/>
        </w:r>
      </w:hyperlink>
    </w:p>
    <w:p w14:paraId="7F0D9B0A" w14:textId="773E355C"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5" w:history="1">
        <w:r w:rsidRPr="001C7449">
          <w:rPr>
            <w:rStyle w:val="Hyperlink"/>
            <w:noProof/>
          </w:rPr>
          <w:t>6.4</w:t>
        </w:r>
        <w:r>
          <w:rPr>
            <w:rFonts w:asciiTheme="minorHAnsi" w:eastAsiaTheme="minorEastAsia" w:hAnsiTheme="minorHAnsi" w:cstheme="minorBidi"/>
            <w:noProof/>
            <w:kern w:val="2"/>
            <w:sz w:val="24"/>
            <w:lang w:eastAsia="en-GB"/>
            <w14:ligatures w14:val="standardContextual"/>
          </w:rPr>
          <w:tab/>
        </w:r>
        <w:r w:rsidRPr="001C7449">
          <w:rPr>
            <w:rStyle w:val="Hyperlink"/>
            <w:noProof/>
          </w:rPr>
          <w:t>Measure 6 – Car Clubs</w:t>
        </w:r>
        <w:r>
          <w:rPr>
            <w:noProof/>
            <w:webHidden/>
          </w:rPr>
          <w:tab/>
        </w:r>
        <w:r>
          <w:rPr>
            <w:noProof/>
            <w:webHidden/>
          </w:rPr>
          <w:fldChar w:fldCharType="begin"/>
        </w:r>
        <w:r>
          <w:rPr>
            <w:noProof/>
            <w:webHidden/>
          </w:rPr>
          <w:instrText xml:space="preserve"> PAGEREF _Toc222131885 \h </w:instrText>
        </w:r>
        <w:r>
          <w:rPr>
            <w:noProof/>
            <w:webHidden/>
          </w:rPr>
        </w:r>
        <w:r>
          <w:rPr>
            <w:noProof/>
            <w:webHidden/>
          </w:rPr>
          <w:fldChar w:fldCharType="separate"/>
        </w:r>
        <w:r>
          <w:rPr>
            <w:noProof/>
            <w:webHidden/>
          </w:rPr>
          <w:t>48</w:t>
        </w:r>
        <w:r>
          <w:rPr>
            <w:noProof/>
            <w:webHidden/>
          </w:rPr>
          <w:fldChar w:fldCharType="end"/>
        </w:r>
      </w:hyperlink>
    </w:p>
    <w:p w14:paraId="4801B97B" w14:textId="037DE705"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6" w:history="1">
        <w:r w:rsidRPr="001C7449">
          <w:rPr>
            <w:rStyle w:val="Hyperlink"/>
            <w:noProof/>
          </w:rPr>
          <w:t>6.5</w:t>
        </w:r>
        <w:r>
          <w:rPr>
            <w:rFonts w:asciiTheme="minorHAnsi" w:eastAsiaTheme="minorEastAsia" w:hAnsiTheme="minorHAnsi" w:cstheme="minorBidi"/>
            <w:noProof/>
            <w:kern w:val="2"/>
            <w:sz w:val="24"/>
            <w:lang w:eastAsia="en-GB"/>
            <w14:ligatures w14:val="standardContextual"/>
          </w:rPr>
          <w:tab/>
        </w:r>
        <w:r w:rsidRPr="001C7449">
          <w:rPr>
            <w:rStyle w:val="Hyperlink"/>
            <w:noProof/>
          </w:rPr>
          <w:t>Measure 8 – Electric charging infrastructure</w:t>
        </w:r>
        <w:r>
          <w:rPr>
            <w:noProof/>
            <w:webHidden/>
          </w:rPr>
          <w:tab/>
        </w:r>
        <w:r>
          <w:rPr>
            <w:noProof/>
            <w:webHidden/>
          </w:rPr>
          <w:fldChar w:fldCharType="begin"/>
        </w:r>
        <w:r>
          <w:rPr>
            <w:noProof/>
            <w:webHidden/>
          </w:rPr>
          <w:instrText xml:space="preserve"> PAGEREF _Toc222131886 \h </w:instrText>
        </w:r>
        <w:r>
          <w:rPr>
            <w:noProof/>
            <w:webHidden/>
          </w:rPr>
        </w:r>
        <w:r>
          <w:rPr>
            <w:noProof/>
            <w:webHidden/>
          </w:rPr>
          <w:fldChar w:fldCharType="separate"/>
        </w:r>
        <w:r>
          <w:rPr>
            <w:noProof/>
            <w:webHidden/>
          </w:rPr>
          <w:t>49</w:t>
        </w:r>
        <w:r>
          <w:rPr>
            <w:noProof/>
            <w:webHidden/>
          </w:rPr>
          <w:fldChar w:fldCharType="end"/>
        </w:r>
      </w:hyperlink>
    </w:p>
    <w:p w14:paraId="05357E6D" w14:textId="7813592F" w:rsidR="005267DE" w:rsidRDefault="005267DE">
      <w:pPr>
        <w:pStyle w:val="TOC2"/>
        <w:tabs>
          <w:tab w:val="left" w:pos="1000"/>
          <w:tab w:val="right" w:leader="dot" w:pos="9060"/>
        </w:tabs>
        <w:rPr>
          <w:rFonts w:asciiTheme="minorHAnsi" w:eastAsiaTheme="minorEastAsia" w:hAnsiTheme="minorHAnsi" w:cstheme="minorBidi"/>
          <w:noProof/>
          <w:kern w:val="2"/>
          <w:sz w:val="24"/>
          <w:lang w:eastAsia="en-GB"/>
          <w14:ligatures w14:val="standardContextual"/>
        </w:rPr>
      </w:pPr>
      <w:hyperlink w:anchor="_Toc222131887" w:history="1">
        <w:r w:rsidRPr="001C7449">
          <w:rPr>
            <w:rStyle w:val="Hyperlink"/>
            <w:noProof/>
          </w:rPr>
          <w:t>6.6</w:t>
        </w:r>
        <w:r>
          <w:rPr>
            <w:rFonts w:asciiTheme="minorHAnsi" w:eastAsiaTheme="minorEastAsia" w:hAnsiTheme="minorHAnsi" w:cstheme="minorBidi"/>
            <w:noProof/>
            <w:kern w:val="2"/>
            <w:sz w:val="24"/>
            <w:lang w:eastAsia="en-GB"/>
            <w14:ligatures w14:val="standardContextual"/>
          </w:rPr>
          <w:tab/>
        </w:r>
        <w:r w:rsidRPr="001C7449">
          <w:rPr>
            <w:rStyle w:val="Hyperlink"/>
            <w:noProof/>
          </w:rPr>
          <w:t>Overall Quantification</w:t>
        </w:r>
        <w:r>
          <w:rPr>
            <w:noProof/>
            <w:webHidden/>
          </w:rPr>
          <w:tab/>
        </w:r>
        <w:r>
          <w:rPr>
            <w:noProof/>
            <w:webHidden/>
          </w:rPr>
          <w:fldChar w:fldCharType="begin"/>
        </w:r>
        <w:r>
          <w:rPr>
            <w:noProof/>
            <w:webHidden/>
          </w:rPr>
          <w:instrText xml:space="preserve"> PAGEREF _Toc222131887 \h </w:instrText>
        </w:r>
        <w:r>
          <w:rPr>
            <w:noProof/>
            <w:webHidden/>
          </w:rPr>
        </w:r>
        <w:r>
          <w:rPr>
            <w:noProof/>
            <w:webHidden/>
          </w:rPr>
          <w:fldChar w:fldCharType="separate"/>
        </w:r>
        <w:r>
          <w:rPr>
            <w:noProof/>
            <w:webHidden/>
          </w:rPr>
          <w:t>49</w:t>
        </w:r>
        <w:r>
          <w:rPr>
            <w:noProof/>
            <w:webHidden/>
          </w:rPr>
          <w:fldChar w:fldCharType="end"/>
        </w:r>
      </w:hyperlink>
    </w:p>
    <w:p w14:paraId="703FCDCC" w14:textId="5F38545F" w:rsidR="005267DE" w:rsidRDefault="005267DE">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88" w:history="1">
        <w:r w:rsidRPr="001C7449">
          <w:rPr>
            <w:rStyle w:val="Hyperlink"/>
            <w:noProof/>
          </w:rPr>
          <w:t>Appendix A: Response to Consultation</w:t>
        </w:r>
        <w:r>
          <w:rPr>
            <w:noProof/>
            <w:webHidden/>
          </w:rPr>
          <w:tab/>
        </w:r>
        <w:r>
          <w:rPr>
            <w:noProof/>
            <w:webHidden/>
          </w:rPr>
          <w:fldChar w:fldCharType="begin"/>
        </w:r>
        <w:r>
          <w:rPr>
            <w:noProof/>
            <w:webHidden/>
          </w:rPr>
          <w:instrText xml:space="preserve"> PAGEREF _Toc222131888 \h </w:instrText>
        </w:r>
        <w:r>
          <w:rPr>
            <w:noProof/>
            <w:webHidden/>
          </w:rPr>
        </w:r>
        <w:r>
          <w:rPr>
            <w:noProof/>
            <w:webHidden/>
          </w:rPr>
          <w:fldChar w:fldCharType="separate"/>
        </w:r>
        <w:r>
          <w:rPr>
            <w:noProof/>
            <w:webHidden/>
          </w:rPr>
          <w:t>50</w:t>
        </w:r>
        <w:r>
          <w:rPr>
            <w:noProof/>
            <w:webHidden/>
          </w:rPr>
          <w:fldChar w:fldCharType="end"/>
        </w:r>
      </w:hyperlink>
    </w:p>
    <w:p w14:paraId="5AC6FFC5" w14:textId="0241B488" w:rsidR="005267DE" w:rsidRDefault="005267DE">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89" w:history="1">
        <w:r w:rsidRPr="001C7449">
          <w:rPr>
            <w:rStyle w:val="Hyperlink"/>
            <w:noProof/>
          </w:rPr>
          <w:t>Appendix B: Reasons for Not Pursuing Action Plan Measures</w:t>
        </w:r>
        <w:r>
          <w:rPr>
            <w:noProof/>
            <w:webHidden/>
          </w:rPr>
          <w:tab/>
        </w:r>
        <w:r>
          <w:rPr>
            <w:noProof/>
            <w:webHidden/>
          </w:rPr>
          <w:fldChar w:fldCharType="begin"/>
        </w:r>
        <w:r>
          <w:rPr>
            <w:noProof/>
            <w:webHidden/>
          </w:rPr>
          <w:instrText xml:space="preserve"> PAGEREF _Toc222131889 \h </w:instrText>
        </w:r>
        <w:r>
          <w:rPr>
            <w:noProof/>
            <w:webHidden/>
          </w:rPr>
        </w:r>
        <w:r>
          <w:rPr>
            <w:noProof/>
            <w:webHidden/>
          </w:rPr>
          <w:fldChar w:fldCharType="separate"/>
        </w:r>
        <w:r>
          <w:rPr>
            <w:noProof/>
            <w:webHidden/>
          </w:rPr>
          <w:t>51</w:t>
        </w:r>
        <w:r>
          <w:rPr>
            <w:noProof/>
            <w:webHidden/>
          </w:rPr>
          <w:fldChar w:fldCharType="end"/>
        </w:r>
      </w:hyperlink>
    </w:p>
    <w:p w14:paraId="1F4F21BA" w14:textId="702FC418" w:rsidR="005267DE" w:rsidRDefault="005267DE">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90" w:history="1">
        <w:r w:rsidRPr="001C7449">
          <w:rPr>
            <w:rStyle w:val="Hyperlink"/>
            <w:noProof/>
          </w:rPr>
          <w:t>Appendix C: Planning and Policy Detail</w:t>
        </w:r>
        <w:r>
          <w:rPr>
            <w:noProof/>
            <w:webHidden/>
          </w:rPr>
          <w:tab/>
        </w:r>
        <w:r>
          <w:rPr>
            <w:noProof/>
            <w:webHidden/>
          </w:rPr>
          <w:fldChar w:fldCharType="begin"/>
        </w:r>
        <w:r>
          <w:rPr>
            <w:noProof/>
            <w:webHidden/>
          </w:rPr>
          <w:instrText xml:space="preserve"> PAGEREF _Toc222131890 \h </w:instrText>
        </w:r>
        <w:r>
          <w:rPr>
            <w:noProof/>
            <w:webHidden/>
          </w:rPr>
        </w:r>
        <w:r>
          <w:rPr>
            <w:noProof/>
            <w:webHidden/>
          </w:rPr>
          <w:fldChar w:fldCharType="separate"/>
        </w:r>
        <w:r>
          <w:rPr>
            <w:noProof/>
            <w:webHidden/>
          </w:rPr>
          <w:t>53</w:t>
        </w:r>
        <w:r>
          <w:rPr>
            <w:noProof/>
            <w:webHidden/>
          </w:rPr>
          <w:fldChar w:fldCharType="end"/>
        </w:r>
      </w:hyperlink>
    </w:p>
    <w:p w14:paraId="39CDAB65" w14:textId="7CA303FA" w:rsidR="005267DE" w:rsidRDefault="005267DE">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22131891" w:history="1">
        <w:r w:rsidRPr="001C7449">
          <w:rPr>
            <w:rStyle w:val="Hyperlink"/>
            <w:noProof/>
          </w:rPr>
          <w:t>C.1 National Planning and Policy Context</w:t>
        </w:r>
        <w:r>
          <w:rPr>
            <w:noProof/>
            <w:webHidden/>
          </w:rPr>
          <w:tab/>
        </w:r>
        <w:r>
          <w:rPr>
            <w:noProof/>
            <w:webHidden/>
          </w:rPr>
          <w:fldChar w:fldCharType="begin"/>
        </w:r>
        <w:r>
          <w:rPr>
            <w:noProof/>
            <w:webHidden/>
          </w:rPr>
          <w:instrText xml:space="preserve"> PAGEREF _Toc222131891 \h </w:instrText>
        </w:r>
        <w:r>
          <w:rPr>
            <w:noProof/>
            <w:webHidden/>
          </w:rPr>
        </w:r>
        <w:r>
          <w:rPr>
            <w:noProof/>
            <w:webHidden/>
          </w:rPr>
          <w:fldChar w:fldCharType="separate"/>
        </w:r>
        <w:r>
          <w:rPr>
            <w:noProof/>
            <w:webHidden/>
          </w:rPr>
          <w:t>53</w:t>
        </w:r>
        <w:r>
          <w:rPr>
            <w:noProof/>
            <w:webHidden/>
          </w:rPr>
          <w:fldChar w:fldCharType="end"/>
        </w:r>
      </w:hyperlink>
    </w:p>
    <w:p w14:paraId="22351ED4" w14:textId="6BEB11CE" w:rsidR="005267DE" w:rsidRDefault="005267DE">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22131892" w:history="1">
        <w:r w:rsidRPr="001C7449">
          <w:rPr>
            <w:rStyle w:val="Hyperlink"/>
            <w:noProof/>
          </w:rPr>
          <w:t>C.2 Regional Planning and Policy Context</w:t>
        </w:r>
        <w:r>
          <w:rPr>
            <w:noProof/>
            <w:webHidden/>
          </w:rPr>
          <w:tab/>
        </w:r>
        <w:r>
          <w:rPr>
            <w:noProof/>
            <w:webHidden/>
          </w:rPr>
          <w:fldChar w:fldCharType="begin"/>
        </w:r>
        <w:r>
          <w:rPr>
            <w:noProof/>
            <w:webHidden/>
          </w:rPr>
          <w:instrText xml:space="preserve"> PAGEREF _Toc222131892 \h </w:instrText>
        </w:r>
        <w:r>
          <w:rPr>
            <w:noProof/>
            <w:webHidden/>
          </w:rPr>
        </w:r>
        <w:r>
          <w:rPr>
            <w:noProof/>
            <w:webHidden/>
          </w:rPr>
          <w:fldChar w:fldCharType="separate"/>
        </w:r>
        <w:r>
          <w:rPr>
            <w:noProof/>
            <w:webHidden/>
          </w:rPr>
          <w:t>57</w:t>
        </w:r>
        <w:r>
          <w:rPr>
            <w:noProof/>
            <w:webHidden/>
          </w:rPr>
          <w:fldChar w:fldCharType="end"/>
        </w:r>
      </w:hyperlink>
    </w:p>
    <w:p w14:paraId="6AEC7C63" w14:textId="6FB7B586" w:rsidR="005267DE" w:rsidRDefault="005267DE">
      <w:pPr>
        <w:pStyle w:val="TOC3"/>
        <w:tabs>
          <w:tab w:val="right" w:leader="dot" w:pos="9060"/>
        </w:tabs>
        <w:rPr>
          <w:rFonts w:asciiTheme="minorHAnsi" w:eastAsiaTheme="minorEastAsia" w:hAnsiTheme="minorHAnsi" w:cstheme="minorBidi"/>
          <w:noProof/>
          <w:kern w:val="2"/>
          <w:lang w:eastAsia="en-GB"/>
          <w14:ligatures w14:val="standardContextual"/>
        </w:rPr>
      </w:pPr>
      <w:hyperlink w:anchor="_Toc222131893" w:history="1">
        <w:r w:rsidRPr="001C7449">
          <w:rPr>
            <w:rStyle w:val="Hyperlink"/>
            <w:noProof/>
          </w:rPr>
          <w:t>C.3 Local Planning and Policy Context</w:t>
        </w:r>
        <w:r>
          <w:rPr>
            <w:noProof/>
            <w:webHidden/>
          </w:rPr>
          <w:tab/>
        </w:r>
        <w:r>
          <w:rPr>
            <w:noProof/>
            <w:webHidden/>
          </w:rPr>
          <w:fldChar w:fldCharType="begin"/>
        </w:r>
        <w:r>
          <w:rPr>
            <w:noProof/>
            <w:webHidden/>
          </w:rPr>
          <w:instrText xml:space="preserve"> PAGEREF _Toc222131893 \h </w:instrText>
        </w:r>
        <w:r>
          <w:rPr>
            <w:noProof/>
            <w:webHidden/>
          </w:rPr>
        </w:r>
        <w:r>
          <w:rPr>
            <w:noProof/>
            <w:webHidden/>
          </w:rPr>
          <w:fldChar w:fldCharType="separate"/>
        </w:r>
        <w:r>
          <w:rPr>
            <w:noProof/>
            <w:webHidden/>
          </w:rPr>
          <w:t>62</w:t>
        </w:r>
        <w:r>
          <w:rPr>
            <w:noProof/>
            <w:webHidden/>
          </w:rPr>
          <w:fldChar w:fldCharType="end"/>
        </w:r>
      </w:hyperlink>
    </w:p>
    <w:p w14:paraId="0D6CC5D9" w14:textId="3E90D8E3" w:rsidR="005267DE" w:rsidRDefault="005267DE">
      <w:pPr>
        <w:pStyle w:val="TOC1"/>
        <w:tabs>
          <w:tab w:val="right" w:leader="dot" w:pos="9060"/>
        </w:tabs>
        <w:rPr>
          <w:rFonts w:asciiTheme="minorHAnsi" w:eastAsiaTheme="minorEastAsia" w:hAnsiTheme="minorHAnsi" w:cstheme="minorBidi"/>
          <w:b w:val="0"/>
          <w:noProof/>
          <w:color w:val="auto"/>
          <w:kern w:val="2"/>
          <w:lang w:eastAsia="en-GB"/>
          <w14:ligatures w14:val="standardContextual"/>
        </w:rPr>
      </w:pPr>
      <w:hyperlink w:anchor="_Toc222131894" w:history="1">
        <w:r w:rsidRPr="001C7449">
          <w:rPr>
            <w:rStyle w:val="Hyperlink"/>
            <w:noProof/>
          </w:rPr>
          <w:t>Glossary of Terms</w:t>
        </w:r>
        <w:r>
          <w:rPr>
            <w:noProof/>
            <w:webHidden/>
          </w:rPr>
          <w:tab/>
        </w:r>
        <w:r>
          <w:rPr>
            <w:noProof/>
            <w:webHidden/>
          </w:rPr>
          <w:fldChar w:fldCharType="begin"/>
        </w:r>
        <w:r>
          <w:rPr>
            <w:noProof/>
            <w:webHidden/>
          </w:rPr>
          <w:instrText xml:space="preserve"> PAGEREF _Toc222131894 \h </w:instrText>
        </w:r>
        <w:r>
          <w:rPr>
            <w:noProof/>
            <w:webHidden/>
          </w:rPr>
        </w:r>
        <w:r>
          <w:rPr>
            <w:noProof/>
            <w:webHidden/>
          </w:rPr>
          <w:fldChar w:fldCharType="separate"/>
        </w:r>
        <w:r>
          <w:rPr>
            <w:noProof/>
            <w:webHidden/>
          </w:rPr>
          <w:t>68</w:t>
        </w:r>
        <w:r>
          <w:rPr>
            <w:noProof/>
            <w:webHidden/>
          </w:rPr>
          <w:fldChar w:fldCharType="end"/>
        </w:r>
      </w:hyperlink>
    </w:p>
    <w:p w14:paraId="0A002A83" w14:textId="20EECE41" w:rsidR="00914C16" w:rsidRDefault="005E6483">
      <w:pPr>
        <w:rPr>
          <w:b/>
          <w:bCs/>
          <w:noProof/>
        </w:rPr>
        <w:sectPr w:rsidR="00914C16" w:rsidSect="00272BE7">
          <w:footerReference w:type="default" r:id="rId15"/>
          <w:pgSz w:w="11906" w:h="16838" w:code="9"/>
          <w:pgMar w:top="1474" w:right="1418" w:bottom="1134" w:left="1418" w:header="964" w:footer="454" w:gutter="0"/>
          <w:pgNumType w:fmt="lowerRoman" w:start="1"/>
          <w:cols w:space="708"/>
          <w:docGrid w:linePitch="360"/>
        </w:sectPr>
      </w:pPr>
      <w:r>
        <w:rPr>
          <w:color w:val="00AF41"/>
        </w:rPr>
        <w:fldChar w:fldCharType="end"/>
      </w:r>
    </w:p>
    <w:p w14:paraId="414BE1B2" w14:textId="77777777" w:rsidR="00E80D30" w:rsidRPr="00085ADD" w:rsidRDefault="00E80D30" w:rsidP="00914C16">
      <w:pPr>
        <w:pStyle w:val="Contents"/>
      </w:pPr>
      <w:r w:rsidRPr="00085ADD">
        <w:lastRenderedPageBreak/>
        <w:t>List of Tables</w:t>
      </w:r>
    </w:p>
    <w:p w14:paraId="0898C9A6" w14:textId="42F2A94E" w:rsidR="005267DE" w:rsidRDefault="00BE428E">
      <w:pPr>
        <w:pStyle w:val="TableofFigures"/>
        <w:rPr>
          <w:rFonts w:asciiTheme="minorHAnsi" w:eastAsiaTheme="minorEastAsia" w:hAnsiTheme="minorHAnsi" w:cstheme="minorBidi"/>
          <w:noProof/>
          <w:kern w:val="2"/>
          <w:szCs w:val="24"/>
          <w:lang w:eastAsia="en-GB"/>
          <w14:ligatures w14:val="standardContextual"/>
        </w:rPr>
      </w:pPr>
      <w:r w:rsidRPr="00664F03">
        <w:fldChar w:fldCharType="begin"/>
      </w:r>
      <w:r w:rsidRPr="00664F03">
        <w:instrText xml:space="preserve"> TOC \h \z \c "Table" </w:instrText>
      </w:r>
      <w:r w:rsidRPr="00664F03">
        <w:fldChar w:fldCharType="separate"/>
      </w:r>
      <w:hyperlink w:anchor="_Toc222131895" w:history="1">
        <w:r w:rsidR="005267DE" w:rsidRPr="00A6070B">
          <w:rPr>
            <w:rStyle w:val="Hyperlink"/>
            <w:noProof/>
          </w:rPr>
          <w:t xml:space="preserve">Table 2.1 </w:t>
        </w:r>
        <w:r w:rsidR="005267DE" w:rsidRPr="00A6070B">
          <w:rPr>
            <w:rStyle w:val="Hyperlink"/>
            <w:noProof/>
            <w:shd w:val="clear" w:color="auto" w:fill="E6E6E6"/>
          </w:rPr>
          <w:t>– Relevant Declared Air Quality Management Areas</w:t>
        </w:r>
        <w:r w:rsidR="005267DE">
          <w:rPr>
            <w:noProof/>
            <w:webHidden/>
          </w:rPr>
          <w:tab/>
        </w:r>
        <w:r w:rsidR="005267DE">
          <w:rPr>
            <w:noProof/>
            <w:webHidden/>
          </w:rPr>
          <w:fldChar w:fldCharType="begin"/>
        </w:r>
        <w:r w:rsidR="005267DE">
          <w:rPr>
            <w:noProof/>
            <w:webHidden/>
          </w:rPr>
          <w:instrText xml:space="preserve"> PAGEREF _Toc222131895 \h </w:instrText>
        </w:r>
        <w:r w:rsidR="005267DE">
          <w:rPr>
            <w:noProof/>
            <w:webHidden/>
          </w:rPr>
        </w:r>
        <w:r w:rsidR="005267DE">
          <w:rPr>
            <w:noProof/>
            <w:webHidden/>
          </w:rPr>
          <w:fldChar w:fldCharType="separate"/>
        </w:r>
        <w:r w:rsidR="005267DE">
          <w:rPr>
            <w:noProof/>
            <w:webHidden/>
          </w:rPr>
          <w:t>3</w:t>
        </w:r>
        <w:r w:rsidR="005267DE">
          <w:rPr>
            <w:noProof/>
            <w:webHidden/>
          </w:rPr>
          <w:fldChar w:fldCharType="end"/>
        </w:r>
      </w:hyperlink>
    </w:p>
    <w:p w14:paraId="687CA6DD" w14:textId="644FB3D4"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896" w:history="1">
        <w:r w:rsidRPr="005267DE">
          <w:rPr>
            <w:rStyle w:val="Hyperlink"/>
            <w:noProof/>
          </w:rPr>
          <w:t>Table 2.2 – Monitoring Locations that Exceeded the Air Quality Objective (or were within 10% of exceeding) in 2024</w:t>
        </w:r>
        <w:r w:rsidRPr="005267DE">
          <w:rPr>
            <w:noProof/>
            <w:webHidden/>
          </w:rPr>
          <w:tab/>
        </w:r>
        <w:r w:rsidRPr="005267DE">
          <w:rPr>
            <w:noProof/>
            <w:webHidden/>
          </w:rPr>
          <w:fldChar w:fldCharType="begin"/>
        </w:r>
        <w:r w:rsidRPr="005267DE">
          <w:rPr>
            <w:noProof/>
            <w:webHidden/>
          </w:rPr>
          <w:instrText xml:space="preserve"> PAGEREF _Toc222131896 \h </w:instrText>
        </w:r>
        <w:r w:rsidRPr="005267DE">
          <w:rPr>
            <w:noProof/>
            <w:webHidden/>
          </w:rPr>
        </w:r>
        <w:r w:rsidRPr="005267DE">
          <w:rPr>
            <w:noProof/>
            <w:webHidden/>
          </w:rPr>
          <w:fldChar w:fldCharType="separate"/>
        </w:r>
        <w:r w:rsidRPr="005267DE">
          <w:rPr>
            <w:noProof/>
            <w:webHidden/>
          </w:rPr>
          <w:t>5</w:t>
        </w:r>
        <w:r w:rsidRPr="005267DE">
          <w:rPr>
            <w:noProof/>
            <w:webHidden/>
          </w:rPr>
          <w:fldChar w:fldCharType="end"/>
        </w:r>
      </w:hyperlink>
    </w:p>
    <w:p w14:paraId="111A6A05" w14:textId="460C551F"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897" w:history="1">
        <w:r w:rsidRPr="005267DE">
          <w:rPr>
            <w:rStyle w:val="Hyperlink"/>
            <w:noProof/>
          </w:rPr>
          <w:t>Table 2.3 – Estimated annual mean NO</w:t>
        </w:r>
        <w:r w:rsidRPr="005267DE">
          <w:rPr>
            <w:rStyle w:val="Hyperlink"/>
            <w:noProof/>
            <w:vertAlign w:val="subscript"/>
          </w:rPr>
          <w:t>2</w:t>
        </w:r>
        <w:r w:rsidRPr="005267DE">
          <w:rPr>
            <w:rStyle w:val="Hyperlink"/>
            <w:noProof/>
          </w:rPr>
          <w:t xml:space="preserve"> concentrations at relevant exposure of the exceeding sites and sites within 10% of the air quality objective</w:t>
        </w:r>
        <w:r w:rsidRPr="005267DE">
          <w:rPr>
            <w:noProof/>
            <w:webHidden/>
          </w:rPr>
          <w:tab/>
        </w:r>
        <w:r w:rsidRPr="005267DE">
          <w:rPr>
            <w:noProof/>
            <w:webHidden/>
          </w:rPr>
          <w:fldChar w:fldCharType="begin"/>
        </w:r>
        <w:r w:rsidRPr="005267DE">
          <w:rPr>
            <w:noProof/>
            <w:webHidden/>
          </w:rPr>
          <w:instrText xml:space="preserve"> PAGEREF _Toc222131897 \h </w:instrText>
        </w:r>
        <w:r w:rsidRPr="005267DE">
          <w:rPr>
            <w:noProof/>
            <w:webHidden/>
          </w:rPr>
        </w:r>
        <w:r w:rsidRPr="005267DE">
          <w:rPr>
            <w:noProof/>
            <w:webHidden/>
          </w:rPr>
          <w:fldChar w:fldCharType="separate"/>
        </w:r>
        <w:r w:rsidRPr="005267DE">
          <w:rPr>
            <w:noProof/>
            <w:webHidden/>
          </w:rPr>
          <w:t>7</w:t>
        </w:r>
        <w:r w:rsidRPr="005267DE">
          <w:rPr>
            <w:noProof/>
            <w:webHidden/>
          </w:rPr>
          <w:fldChar w:fldCharType="end"/>
        </w:r>
      </w:hyperlink>
    </w:p>
    <w:p w14:paraId="3D61ED5A" w14:textId="0C3773D5"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898" w:history="1">
        <w:r w:rsidRPr="005267DE">
          <w:rPr>
            <w:rStyle w:val="Hyperlink"/>
            <w:noProof/>
          </w:rPr>
          <w:t>Table 3.1 – Summary of Relevant Policy</w:t>
        </w:r>
        <w:r w:rsidRPr="005267DE">
          <w:rPr>
            <w:noProof/>
            <w:webHidden/>
          </w:rPr>
          <w:tab/>
        </w:r>
        <w:r w:rsidRPr="005267DE">
          <w:rPr>
            <w:noProof/>
            <w:webHidden/>
          </w:rPr>
          <w:fldChar w:fldCharType="begin"/>
        </w:r>
        <w:r w:rsidRPr="005267DE">
          <w:rPr>
            <w:noProof/>
            <w:webHidden/>
          </w:rPr>
          <w:instrText xml:space="preserve"> PAGEREF _Toc222131898 \h </w:instrText>
        </w:r>
        <w:r w:rsidRPr="005267DE">
          <w:rPr>
            <w:noProof/>
            <w:webHidden/>
          </w:rPr>
        </w:r>
        <w:r w:rsidRPr="005267DE">
          <w:rPr>
            <w:noProof/>
            <w:webHidden/>
          </w:rPr>
          <w:fldChar w:fldCharType="separate"/>
        </w:r>
        <w:r w:rsidRPr="005267DE">
          <w:rPr>
            <w:noProof/>
            <w:webHidden/>
          </w:rPr>
          <w:t>11</w:t>
        </w:r>
        <w:r w:rsidRPr="005267DE">
          <w:rPr>
            <w:noProof/>
            <w:webHidden/>
          </w:rPr>
          <w:fldChar w:fldCharType="end"/>
        </w:r>
      </w:hyperlink>
    </w:p>
    <w:p w14:paraId="70DB5DA0" w14:textId="6D55DF17"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899" w:history="1">
        <w:r w:rsidRPr="005267DE">
          <w:rPr>
            <w:rStyle w:val="Hyperlink"/>
            <w:noProof/>
          </w:rPr>
          <w:t>Table 3.2 – Required NO</w:t>
        </w:r>
        <w:r w:rsidRPr="005267DE">
          <w:rPr>
            <w:rStyle w:val="Hyperlink"/>
            <w:noProof/>
            <w:vertAlign w:val="subscript"/>
          </w:rPr>
          <w:t>x</w:t>
        </w:r>
        <w:r w:rsidRPr="005267DE">
          <w:rPr>
            <w:rStyle w:val="Hyperlink"/>
            <w:noProof/>
          </w:rPr>
          <w:t xml:space="preserve"> emission reduction at the worst-case receptor location in AQMA 1b (Market Street (DT8))</w:t>
        </w:r>
        <w:r w:rsidRPr="005267DE">
          <w:rPr>
            <w:noProof/>
            <w:webHidden/>
          </w:rPr>
          <w:tab/>
        </w:r>
        <w:r w:rsidRPr="005267DE">
          <w:rPr>
            <w:noProof/>
            <w:webHidden/>
          </w:rPr>
          <w:fldChar w:fldCharType="begin"/>
        </w:r>
        <w:r w:rsidRPr="005267DE">
          <w:rPr>
            <w:noProof/>
            <w:webHidden/>
          </w:rPr>
          <w:instrText xml:space="preserve"> PAGEREF _Toc222131899 \h </w:instrText>
        </w:r>
        <w:r w:rsidRPr="005267DE">
          <w:rPr>
            <w:noProof/>
            <w:webHidden/>
          </w:rPr>
        </w:r>
        <w:r w:rsidRPr="005267DE">
          <w:rPr>
            <w:noProof/>
            <w:webHidden/>
          </w:rPr>
          <w:fldChar w:fldCharType="separate"/>
        </w:r>
        <w:r w:rsidRPr="005267DE">
          <w:rPr>
            <w:noProof/>
            <w:webHidden/>
          </w:rPr>
          <w:t>25</w:t>
        </w:r>
        <w:r w:rsidRPr="005267DE">
          <w:rPr>
            <w:noProof/>
            <w:webHidden/>
          </w:rPr>
          <w:fldChar w:fldCharType="end"/>
        </w:r>
      </w:hyperlink>
    </w:p>
    <w:p w14:paraId="2AA3AB5A" w14:textId="0027FFED"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0" w:history="1">
        <w:r w:rsidRPr="005267DE">
          <w:rPr>
            <w:rStyle w:val="Hyperlink"/>
            <w:noProof/>
          </w:rPr>
          <w:t>Table 3.3 – Local Traffic Growth Factors from TEMPro</w:t>
        </w:r>
        <w:r w:rsidRPr="005267DE">
          <w:rPr>
            <w:noProof/>
            <w:webHidden/>
          </w:rPr>
          <w:tab/>
        </w:r>
        <w:r w:rsidRPr="005267DE">
          <w:rPr>
            <w:noProof/>
            <w:webHidden/>
          </w:rPr>
          <w:fldChar w:fldCharType="begin"/>
        </w:r>
        <w:r w:rsidRPr="005267DE">
          <w:rPr>
            <w:noProof/>
            <w:webHidden/>
          </w:rPr>
          <w:instrText xml:space="preserve"> PAGEREF _Toc222131900 \h </w:instrText>
        </w:r>
        <w:r w:rsidRPr="005267DE">
          <w:rPr>
            <w:noProof/>
            <w:webHidden/>
          </w:rPr>
        </w:r>
        <w:r w:rsidRPr="005267DE">
          <w:rPr>
            <w:noProof/>
            <w:webHidden/>
          </w:rPr>
          <w:fldChar w:fldCharType="separate"/>
        </w:r>
        <w:r w:rsidRPr="005267DE">
          <w:rPr>
            <w:noProof/>
            <w:webHidden/>
          </w:rPr>
          <w:t>26</w:t>
        </w:r>
        <w:r w:rsidRPr="005267DE">
          <w:rPr>
            <w:noProof/>
            <w:webHidden/>
          </w:rPr>
          <w:fldChar w:fldCharType="end"/>
        </w:r>
      </w:hyperlink>
    </w:p>
    <w:p w14:paraId="63F168A5" w14:textId="08C08A81"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1" w:history="1">
        <w:r w:rsidRPr="005267DE">
          <w:rPr>
            <w:rStyle w:val="Hyperlink"/>
            <w:noProof/>
          </w:rPr>
          <w:t>Table 3.4 – Projected NO</w:t>
        </w:r>
        <w:r w:rsidRPr="005267DE">
          <w:rPr>
            <w:rStyle w:val="Hyperlink"/>
            <w:noProof/>
            <w:vertAlign w:val="subscript"/>
          </w:rPr>
          <w:t>x</w:t>
        </w:r>
        <w:r w:rsidRPr="005267DE">
          <w:rPr>
            <w:rStyle w:val="Hyperlink"/>
            <w:noProof/>
          </w:rPr>
          <w:t xml:space="preserve"> Emissions for Market Street</w:t>
        </w:r>
        <w:r w:rsidRPr="005267DE">
          <w:rPr>
            <w:noProof/>
            <w:webHidden/>
          </w:rPr>
          <w:tab/>
        </w:r>
        <w:r w:rsidRPr="005267DE">
          <w:rPr>
            <w:noProof/>
            <w:webHidden/>
          </w:rPr>
          <w:fldChar w:fldCharType="begin"/>
        </w:r>
        <w:r w:rsidRPr="005267DE">
          <w:rPr>
            <w:noProof/>
            <w:webHidden/>
          </w:rPr>
          <w:instrText xml:space="preserve"> PAGEREF _Toc222131901 \h </w:instrText>
        </w:r>
        <w:r w:rsidRPr="005267DE">
          <w:rPr>
            <w:noProof/>
            <w:webHidden/>
          </w:rPr>
        </w:r>
        <w:r w:rsidRPr="005267DE">
          <w:rPr>
            <w:noProof/>
            <w:webHidden/>
          </w:rPr>
          <w:fldChar w:fldCharType="separate"/>
        </w:r>
        <w:r w:rsidRPr="005267DE">
          <w:rPr>
            <w:noProof/>
            <w:webHidden/>
          </w:rPr>
          <w:t>27</w:t>
        </w:r>
        <w:r w:rsidRPr="005267DE">
          <w:rPr>
            <w:noProof/>
            <w:webHidden/>
          </w:rPr>
          <w:fldChar w:fldCharType="end"/>
        </w:r>
      </w:hyperlink>
    </w:p>
    <w:p w14:paraId="3F4870B0" w14:textId="34A96667"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2" w:history="1">
        <w:r w:rsidRPr="005267DE">
          <w:rPr>
            <w:rStyle w:val="Hyperlink"/>
            <w:noProof/>
          </w:rPr>
          <w:t>Table 3.5 – Predicted reductions in annual mean NO</w:t>
        </w:r>
        <w:r w:rsidRPr="005267DE">
          <w:rPr>
            <w:rStyle w:val="Hyperlink"/>
            <w:noProof/>
            <w:vertAlign w:val="subscript"/>
          </w:rPr>
          <w:t>2</w:t>
        </w:r>
        <w:r w:rsidRPr="005267DE">
          <w:rPr>
            <w:rStyle w:val="Hyperlink"/>
            <w:noProof/>
          </w:rPr>
          <w:t xml:space="preserve"> concentrations at Market Street</w:t>
        </w:r>
        <w:r w:rsidRPr="005267DE">
          <w:rPr>
            <w:noProof/>
            <w:webHidden/>
          </w:rPr>
          <w:tab/>
        </w:r>
        <w:r w:rsidRPr="005267DE">
          <w:rPr>
            <w:noProof/>
            <w:webHidden/>
          </w:rPr>
          <w:fldChar w:fldCharType="begin"/>
        </w:r>
        <w:r w:rsidRPr="005267DE">
          <w:rPr>
            <w:noProof/>
            <w:webHidden/>
          </w:rPr>
          <w:instrText xml:space="preserve"> PAGEREF _Toc222131902 \h </w:instrText>
        </w:r>
        <w:r w:rsidRPr="005267DE">
          <w:rPr>
            <w:noProof/>
            <w:webHidden/>
          </w:rPr>
        </w:r>
        <w:r w:rsidRPr="005267DE">
          <w:rPr>
            <w:noProof/>
            <w:webHidden/>
          </w:rPr>
          <w:fldChar w:fldCharType="separate"/>
        </w:r>
        <w:r w:rsidRPr="005267DE">
          <w:rPr>
            <w:noProof/>
            <w:webHidden/>
          </w:rPr>
          <w:t>28</w:t>
        </w:r>
        <w:r w:rsidRPr="005267DE">
          <w:rPr>
            <w:noProof/>
            <w:webHidden/>
          </w:rPr>
          <w:fldChar w:fldCharType="end"/>
        </w:r>
      </w:hyperlink>
    </w:p>
    <w:p w14:paraId="5917D53F" w14:textId="28298BAE"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3" w:history="1">
        <w:r w:rsidRPr="00A6070B">
          <w:rPr>
            <w:rStyle w:val="Hyperlink"/>
            <w:noProof/>
          </w:rPr>
          <w:t>Table 4.1 ‒ Consultation Undertaken</w:t>
        </w:r>
        <w:r>
          <w:rPr>
            <w:noProof/>
            <w:webHidden/>
          </w:rPr>
          <w:tab/>
        </w:r>
        <w:r>
          <w:rPr>
            <w:noProof/>
            <w:webHidden/>
          </w:rPr>
          <w:fldChar w:fldCharType="begin"/>
        </w:r>
        <w:r>
          <w:rPr>
            <w:noProof/>
            <w:webHidden/>
          </w:rPr>
          <w:instrText xml:space="preserve"> PAGEREF _Toc222131903 \h </w:instrText>
        </w:r>
        <w:r>
          <w:rPr>
            <w:noProof/>
            <w:webHidden/>
          </w:rPr>
        </w:r>
        <w:r>
          <w:rPr>
            <w:noProof/>
            <w:webHidden/>
          </w:rPr>
          <w:fldChar w:fldCharType="separate"/>
        </w:r>
        <w:r>
          <w:rPr>
            <w:noProof/>
            <w:webHidden/>
          </w:rPr>
          <w:t>31</w:t>
        </w:r>
        <w:r>
          <w:rPr>
            <w:noProof/>
            <w:webHidden/>
          </w:rPr>
          <w:fldChar w:fldCharType="end"/>
        </w:r>
      </w:hyperlink>
    </w:p>
    <w:p w14:paraId="025CAC67" w14:textId="25650583"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4" w:history="1">
        <w:r w:rsidRPr="00A6070B">
          <w:rPr>
            <w:rStyle w:val="Hyperlink"/>
            <w:noProof/>
          </w:rPr>
          <w:t>Table 5.1 ‒ Cost Benefit Analysis of short-listed actions</w:t>
        </w:r>
        <w:r>
          <w:rPr>
            <w:noProof/>
            <w:webHidden/>
          </w:rPr>
          <w:tab/>
        </w:r>
        <w:r>
          <w:rPr>
            <w:noProof/>
            <w:webHidden/>
          </w:rPr>
          <w:fldChar w:fldCharType="begin"/>
        </w:r>
        <w:r>
          <w:rPr>
            <w:noProof/>
            <w:webHidden/>
          </w:rPr>
          <w:instrText xml:space="preserve"> PAGEREF _Toc222131904 \h </w:instrText>
        </w:r>
        <w:r>
          <w:rPr>
            <w:noProof/>
            <w:webHidden/>
          </w:rPr>
        </w:r>
        <w:r>
          <w:rPr>
            <w:noProof/>
            <w:webHidden/>
          </w:rPr>
          <w:fldChar w:fldCharType="separate"/>
        </w:r>
        <w:r>
          <w:rPr>
            <w:noProof/>
            <w:webHidden/>
          </w:rPr>
          <w:t>34</w:t>
        </w:r>
        <w:r>
          <w:rPr>
            <w:noProof/>
            <w:webHidden/>
          </w:rPr>
          <w:fldChar w:fldCharType="end"/>
        </w:r>
      </w:hyperlink>
    </w:p>
    <w:p w14:paraId="384EAF14" w14:textId="732295A8"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5" w:history="1">
        <w:r w:rsidRPr="00A6070B">
          <w:rPr>
            <w:rStyle w:val="Hyperlink"/>
            <w:noProof/>
          </w:rPr>
          <w:t>Table 5.2 ‒ Air Quality Action Plan Measures</w:t>
        </w:r>
        <w:r>
          <w:rPr>
            <w:noProof/>
            <w:webHidden/>
          </w:rPr>
          <w:tab/>
        </w:r>
        <w:r>
          <w:rPr>
            <w:noProof/>
            <w:webHidden/>
          </w:rPr>
          <w:fldChar w:fldCharType="begin"/>
        </w:r>
        <w:r>
          <w:rPr>
            <w:noProof/>
            <w:webHidden/>
          </w:rPr>
          <w:instrText xml:space="preserve"> PAGEREF _Toc222131905 \h </w:instrText>
        </w:r>
        <w:r>
          <w:rPr>
            <w:noProof/>
            <w:webHidden/>
          </w:rPr>
        </w:r>
        <w:r>
          <w:rPr>
            <w:noProof/>
            <w:webHidden/>
          </w:rPr>
          <w:fldChar w:fldCharType="separate"/>
        </w:r>
        <w:r>
          <w:rPr>
            <w:noProof/>
            <w:webHidden/>
          </w:rPr>
          <w:t>36</w:t>
        </w:r>
        <w:r>
          <w:rPr>
            <w:noProof/>
            <w:webHidden/>
          </w:rPr>
          <w:fldChar w:fldCharType="end"/>
        </w:r>
      </w:hyperlink>
    </w:p>
    <w:p w14:paraId="3D9F6CEF" w14:textId="3BAA86E4"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6" w:history="1">
        <w:r w:rsidRPr="00A6070B">
          <w:rPr>
            <w:rStyle w:val="Hyperlink"/>
            <w:noProof/>
          </w:rPr>
          <w:t>Table 6.1 ‒ Modelled annual mean NO</w:t>
        </w:r>
        <w:r w:rsidRPr="00A6070B">
          <w:rPr>
            <w:rStyle w:val="Hyperlink"/>
            <w:noProof/>
            <w:vertAlign w:val="subscript"/>
          </w:rPr>
          <w:t>2</w:t>
        </w:r>
        <w:r w:rsidRPr="00A6070B">
          <w:rPr>
            <w:rStyle w:val="Hyperlink"/>
            <w:noProof/>
          </w:rPr>
          <w:t xml:space="preserve"> concentrations for PCM link 47526 in 2023</w:t>
        </w:r>
        <w:r>
          <w:rPr>
            <w:noProof/>
            <w:webHidden/>
          </w:rPr>
          <w:tab/>
        </w:r>
        <w:r>
          <w:rPr>
            <w:noProof/>
            <w:webHidden/>
          </w:rPr>
          <w:fldChar w:fldCharType="begin"/>
        </w:r>
        <w:r>
          <w:rPr>
            <w:noProof/>
            <w:webHidden/>
          </w:rPr>
          <w:instrText xml:space="preserve"> PAGEREF _Toc222131906 \h </w:instrText>
        </w:r>
        <w:r>
          <w:rPr>
            <w:noProof/>
            <w:webHidden/>
          </w:rPr>
        </w:r>
        <w:r>
          <w:rPr>
            <w:noProof/>
            <w:webHidden/>
          </w:rPr>
          <w:fldChar w:fldCharType="separate"/>
        </w:r>
        <w:r>
          <w:rPr>
            <w:noProof/>
            <w:webHidden/>
          </w:rPr>
          <w:t>42</w:t>
        </w:r>
        <w:r>
          <w:rPr>
            <w:noProof/>
            <w:webHidden/>
          </w:rPr>
          <w:fldChar w:fldCharType="end"/>
        </w:r>
      </w:hyperlink>
    </w:p>
    <w:p w14:paraId="2822CF10" w14:textId="2E9E308B"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7" w:history="1">
        <w:r w:rsidRPr="00A6070B">
          <w:rPr>
            <w:rStyle w:val="Hyperlink"/>
            <w:noProof/>
          </w:rPr>
          <w:t>Table 6.2 ‒ Average daily buses going through Market Street and St Mary’s Place that are part of the bus electrification plans</w:t>
        </w:r>
        <w:r>
          <w:rPr>
            <w:noProof/>
            <w:webHidden/>
          </w:rPr>
          <w:tab/>
        </w:r>
        <w:r>
          <w:rPr>
            <w:noProof/>
            <w:webHidden/>
          </w:rPr>
          <w:fldChar w:fldCharType="begin"/>
        </w:r>
        <w:r>
          <w:rPr>
            <w:noProof/>
            <w:webHidden/>
          </w:rPr>
          <w:instrText xml:space="preserve"> PAGEREF _Toc222131907 \h </w:instrText>
        </w:r>
        <w:r>
          <w:rPr>
            <w:noProof/>
            <w:webHidden/>
          </w:rPr>
        </w:r>
        <w:r>
          <w:rPr>
            <w:noProof/>
            <w:webHidden/>
          </w:rPr>
          <w:fldChar w:fldCharType="separate"/>
        </w:r>
        <w:r>
          <w:rPr>
            <w:noProof/>
            <w:webHidden/>
          </w:rPr>
          <w:t>45</w:t>
        </w:r>
        <w:r>
          <w:rPr>
            <w:noProof/>
            <w:webHidden/>
          </w:rPr>
          <w:fldChar w:fldCharType="end"/>
        </w:r>
      </w:hyperlink>
    </w:p>
    <w:p w14:paraId="5A6E622A" w14:textId="27BF9295"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8" w:history="1">
        <w:r w:rsidRPr="00A6070B">
          <w:rPr>
            <w:rStyle w:val="Hyperlink"/>
            <w:noProof/>
          </w:rPr>
          <w:t>Table 6.3 ‒ Proportions of buses to be electrified in 2026</w:t>
        </w:r>
        <w:r>
          <w:rPr>
            <w:noProof/>
            <w:webHidden/>
          </w:rPr>
          <w:tab/>
        </w:r>
        <w:r>
          <w:rPr>
            <w:noProof/>
            <w:webHidden/>
          </w:rPr>
          <w:fldChar w:fldCharType="begin"/>
        </w:r>
        <w:r>
          <w:rPr>
            <w:noProof/>
            <w:webHidden/>
          </w:rPr>
          <w:instrText xml:space="preserve"> PAGEREF _Toc222131908 \h </w:instrText>
        </w:r>
        <w:r>
          <w:rPr>
            <w:noProof/>
            <w:webHidden/>
          </w:rPr>
        </w:r>
        <w:r>
          <w:rPr>
            <w:noProof/>
            <w:webHidden/>
          </w:rPr>
          <w:fldChar w:fldCharType="separate"/>
        </w:r>
        <w:r>
          <w:rPr>
            <w:noProof/>
            <w:webHidden/>
          </w:rPr>
          <w:t>45</w:t>
        </w:r>
        <w:r>
          <w:rPr>
            <w:noProof/>
            <w:webHidden/>
          </w:rPr>
          <w:fldChar w:fldCharType="end"/>
        </w:r>
      </w:hyperlink>
    </w:p>
    <w:p w14:paraId="57B8DECA" w14:textId="3FD2AE2D"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09" w:history="1">
        <w:r w:rsidRPr="00A6070B">
          <w:rPr>
            <w:rStyle w:val="Hyperlink"/>
            <w:noProof/>
          </w:rPr>
          <w:t>Table 6.4 ‒ Predicted annual mean NO</w:t>
        </w:r>
        <w:r w:rsidRPr="00A6070B">
          <w:rPr>
            <w:rStyle w:val="Hyperlink"/>
            <w:noProof/>
            <w:vertAlign w:val="subscript"/>
          </w:rPr>
          <w:t>2</w:t>
        </w:r>
        <w:r w:rsidRPr="00A6070B">
          <w:rPr>
            <w:rStyle w:val="Hyperlink"/>
            <w:noProof/>
          </w:rPr>
          <w:t xml:space="preserve"> concentrations at Market Street and St Mary’s Place with and without the bus electrification in 2026</w:t>
        </w:r>
        <w:r>
          <w:rPr>
            <w:noProof/>
            <w:webHidden/>
          </w:rPr>
          <w:tab/>
        </w:r>
        <w:r>
          <w:rPr>
            <w:noProof/>
            <w:webHidden/>
          </w:rPr>
          <w:fldChar w:fldCharType="begin"/>
        </w:r>
        <w:r>
          <w:rPr>
            <w:noProof/>
            <w:webHidden/>
          </w:rPr>
          <w:instrText xml:space="preserve"> PAGEREF _Toc222131909 \h </w:instrText>
        </w:r>
        <w:r>
          <w:rPr>
            <w:noProof/>
            <w:webHidden/>
          </w:rPr>
        </w:r>
        <w:r>
          <w:rPr>
            <w:noProof/>
            <w:webHidden/>
          </w:rPr>
          <w:fldChar w:fldCharType="separate"/>
        </w:r>
        <w:r>
          <w:rPr>
            <w:noProof/>
            <w:webHidden/>
          </w:rPr>
          <w:t>46</w:t>
        </w:r>
        <w:r>
          <w:rPr>
            <w:noProof/>
            <w:webHidden/>
          </w:rPr>
          <w:fldChar w:fldCharType="end"/>
        </w:r>
      </w:hyperlink>
    </w:p>
    <w:p w14:paraId="6A47DD0C" w14:textId="4F613E9D"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0" w:history="1">
        <w:r w:rsidRPr="005267DE">
          <w:rPr>
            <w:rStyle w:val="Hyperlink"/>
            <w:noProof/>
          </w:rPr>
          <w:t xml:space="preserve">Table 6.5 – Non-automatic </w:t>
        </w:r>
        <w:r w:rsidRPr="005267DE">
          <w:rPr>
            <w:rStyle w:val="Hyperlink"/>
            <w:rFonts w:eastAsia="Arial" w:cs="Arial"/>
            <w:noProof/>
            <w:kern w:val="18"/>
            <w:lang w:val="en-IE"/>
          </w:rPr>
          <w:t>NO</w:t>
        </w:r>
        <w:r w:rsidRPr="005267DE">
          <w:rPr>
            <w:rStyle w:val="Hyperlink"/>
            <w:rFonts w:eastAsia="Arial" w:cs="Arial"/>
            <w:noProof/>
            <w:kern w:val="18"/>
            <w:vertAlign w:val="subscript"/>
            <w:lang w:val="en-IE"/>
          </w:rPr>
          <w:t>2</w:t>
        </w:r>
        <w:r w:rsidRPr="005267DE">
          <w:rPr>
            <w:rStyle w:val="Hyperlink"/>
            <w:noProof/>
          </w:rPr>
          <w:t xml:space="preserve"> Fall off With Distance Calculations (concentrations presented in </w:t>
        </w:r>
        <w:r w:rsidRPr="005267DE">
          <w:rPr>
            <w:rStyle w:val="Hyperlink"/>
            <w:rFonts w:eastAsia="Arial" w:cs="Arial"/>
            <w:noProof/>
            <w:kern w:val="18"/>
            <w:lang w:val="en-IE"/>
          </w:rPr>
          <w:t>µg/m</w:t>
        </w:r>
        <w:r w:rsidRPr="005267DE">
          <w:rPr>
            <w:rStyle w:val="Hyperlink"/>
            <w:rFonts w:eastAsia="Arial" w:cs="Arial"/>
            <w:noProof/>
            <w:kern w:val="18"/>
            <w:vertAlign w:val="superscript"/>
            <w:lang w:val="en-IE"/>
          </w:rPr>
          <w:t>3</w:t>
        </w:r>
        <w:r w:rsidRPr="005267DE">
          <w:rPr>
            <w:rStyle w:val="Hyperlink"/>
            <w:noProof/>
          </w:rPr>
          <w:t>)</w:t>
        </w:r>
        <w:r w:rsidRPr="005267DE">
          <w:rPr>
            <w:noProof/>
            <w:webHidden/>
          </w:rPr>
          <w:tab/>
        </w:r>
        <w:r w:rsidRPr="005267DE">
          <w:rPr>
            <w:noProof/>
            <w:webHidden/>
          </w:rPr>
          <w:fldChar w:fldCharType="begin"/>
        </w:r>
        <w:r w:rsidRPr="005267DE">
          <w:rPr>
            <w:noProof/>
            <w:webHidden/>
          </w:rPr>
          <w:instrText xml:space="preserve"> PAGEREF _Toc222131910 \h </w:instrText>
        </w:r>
        <w:r w:rsidRPr="005267DE">
          <w:rPr>
            <w:noProof/>
            <w:webHidden/>
          </w:rPr>
        </w:r>
        <w:r w:rsidRPr="005267DE">
          <w:rPr>
            <w:noProof/>
            <w:webHidden/>
          </w:rPr>
          <w:fldChar w:fldCharType="separate"/>
        </w:r>
        <w:r w:rsidRPr="005267DE">
          <w:rPr>
            <w:noProof/>
            <w:webHidden/>
          </w:rPr>
          <w:t>47</w:t>
        </w:r>
        <w:r w:rsidRPr="005267DE">
          <w:rPr>
            <w:noProof/>
            <w:webHidden/>
          </w:rPr>
          <w:fldChar w:fldCharType="end"/>
        </w:r>
      </w:hyperlink>
    </w:p>
    <w:p w14:paraId="61F80440" w14:textId="3E93E7BC" w:rsidR="005267DE" w:rsidRP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1" w:history="1">
        <w:r w:rsidRPr="005267DE">
          <w:rPr>
            <w:rStyle w:val="Hyperlink"/>
            <w:noProof/>
          </w:rPr>
          <w:t>Table 6.6 – Annual NO</w:t>
        </w:r>
        <w:r w:rsidRPr="005267DE">
          <w:rPr>
            <w:rStyle w:val="Hyperlink"/>
            <w:noProof/>
            <w:vertAlign w:val="subscript"/>
          </w:rPr>
          <w:t>x</w:t>
        </w:r>
        <w:r w:rsidRPr="005267DE">
          <w:rPr>
            <w:rStyle w:val="Hyperlink"/>
            <w:noProof/>
          </w:rPr>
          <w:t xml:space="preserve"> emissions savings from one Euro 6 Car Club car replacing 15 privately owned vehicles</w:t>
        </w:r>
        <w:r w:rsidRPr="005267DE">
          <w:rPr>
            <w:noProof/>
            <w:webHidden/>
          </w:rPr>
          <w:tab/>
        </w:r>
        <w:r w:rsidRPr="005267DE">
          <w:rPr>
            <w:noProof/>
            <w:webHidden/>
          </w:rPr>
          <w:fldChar w:fldCharType="begin"/>
        </w:r>
        <w:r w:rsidRPr="005267DE">
          <w:rPr>
            <w:noProof/>
            <w:webHidden/>
          </w:rPr>
          <w:instrText xml:space="preserve"> PAGEREF _Toc222131911 \h </w:instrText>
        </w:r>
        <w:r w:rsidRPr="005267DE">
          <w:rPr>
            <w:noProof/>
            <w:webHidden/>
          </w:rPr>
        </w:r>
        <w:r w:rsidRPr="005267DE">
          <w:rPr>
            <w:noProof/>
            <w:webHidden/>
          </w:rPr>
          <w:fldChar w:fldCharType="separate"/>
        </w:r>
        <w:r w:rsidRPr="005267DE">
          <w:rPr>
            <w:noProof/>
            <w:webHidden/>
          </w:rPr>
          <w:t>48</w:t>
        </w:r>
        <w:r w:rsidRPr="005267DE">
          <w:rPr>
            <w:noProof/>
            <w:webHidden/>
          </w:rPr>
          <w:fldChar w:fldCharType="end"/>
        </w:r>
      </w:hyperlink>
    </w:p>
    <w:p w14:paraId="02C804DD" w14:textId="3DFE4C93"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2" w:history="1">
        <w:r w:rsidRPr="005267DE">
          <w:rPr>
            <w:rStyle w:val="Hyperlink"/>
            <w:noProof/>
          </w:rPr>
          <w:t>Table 6.7 – Calculation of total mileage travelled daily by an Electric Vehicle (EV) charged at a ultra rapid charger of 50kWh +</w:t>
        </w:r>
        <w:r w:rsidRPr="005267DE">
          <w:rPr>
            <w:noProof/>
            <w:webHidden/>
          </w:rPr>
          <w:tab/>
        </w:r>
        <w:r w:rsidRPr="005267DE">
          <w:rPr>
            <w:noProof/>
            <w:webHidden/>
          </w:rPr>
          <w:fldChar w:fldCharType="begin"/>
        </w:r>
        <w:r w:rsidRPr="005267DE">
          <w:rPr>
            <w:noProof/>
            <w:webHidden/>
          </w:rPr>
          <w:instrText xml:space="preserve"> PAGEREF _Toc222131912 \h </w:instrText>
        </w:r>
        <w:r w:rsidRPr="005267DE">
          <w:rPr>
            <w:noProof/>
            <w:webHidden/>
          </w:rPr>
        </w:r>
        <w:r w:rsidRPr="005267DE">
          <w:rPr>
            <w:noProof/>
            <w:webHidden/>
          </w:rPr>
          <w:fldChar w:fldCharType="separate"/>
        </w:r>
        <w:r w:rsidRPr="005267DE">
          <w:rPr>
            <w:noProof/>
            <w:webHidden/>
          </w:rPr>
          <w:t>49</w:t>
        </w:r>
        <w:r w:rsidRPr="005267DE">
          <w:rPr>
            <w:noProof/>
            <w:webHidden/>
          </w:rPr>
          <w:fldChar w:fldCharType="end"/>
        </w:r>
      </w:hyperlink>
    </w:p>
    <w:p w14:paraId="29F05EDB" w14:textId="4E6F3E31" w:rsidR="00E80D30" w:rsidRPr="00914C16" w:rsidRDefault="00BE428E" w:rsidP="00914C16">
      <w:pPr>
        <w:pStyle w:val="Contents"/>
      </w:pPr>
      <w:r w:rsidRPr="00664F03">
        <w:rPr>
          <w:b w:val="0"/>
          <w:szCs w:val="20"/>
        </w:rPr>
        <w:lastRenderedPageBreak/>
        <w:fldChar w:fldCharType="end"/>
      </w:r>
      <w:r w:rsidR="00E80D30" w:rsidRPr="00914C16">
        <w:t>List of Figures</w:t>
      </w:r>
    </w:p>
    <w:p w14:paraId="3BB4EF5A" w14:textId="7CC51CB3" w:rsidR="005267DE" w:rsidRDefault="0047044D">
      <w:pPr>
        <w:pStyle w:val="TableofFigures"/>
        <w:rPr>
          <w:rFonts w:asciiTheme="minorHAnsi" w:eastAsiaTheme="minorEastAsia" w:hAnsiTheme="minorHAnsi" w:cstheme="minorBidi"/>
          <w:noProof/>
          <w:kern w:val="2"/>
          <w:szCs w:val="24"/>
          <w:lang w:eastAsia="en-GB"/>
          <w14:ligatures w14:val="standardContextual"/>
        </w:rPr>
      </w:pPr>
      <w:r w:rsidRPr="005D047D">
        <w:rPr>
          <w:color w:val="FF0000"/>
        </w:rPr>
        <w:fldChar w:fldCharType="begin"/>
      </w:r>
      <w:r>
        <w:rPr>
          <w:color w:val="FF0000"/>
        </w:rPr>
        <w:instrText xml:space="preserve"> TOC \h \z \c "Figure" </w:instrText>
      </w:r>
      <w:r w:rsidRPr="005D047D">
        <w:rPr>
          <w:color w:val="FF0000"/>
        </w:rPr>
        <w:fldChar w:fldCharType="separate"/>
      </w:r>
      <w:hyperlink w:anchor="_Toc222131913" w:history="1">
        <w:r w:rsidR="005267DE" w:rsidRPr="00B30141">
          <w:rPr>
            <w:rStyle w:val="Hyperlink"/>
            <w:noProof/>
          </w:rPr>
          <w:t>Figure 2.1- Air Quality Management Area and Clean Air Zone</w:t>
        </w:r>
        <w:r w:rsidR="005267DE">
          <w:rPr>
            <w:noProof/>
            <w:webHidden/>
          </w:rPr>
          <w:tab/>
        </w:r>
        <w:r w:rsidR="005267DE">
          <w:rPr>
            <w:noProof/>
            <w:webHidden/>
          </w:rPr>
          <w:fldChar w:fldCharType="begin"/>
        </w:r>
        <w:r w:rsidR="005267DE">
          <w:rPr>
            <w:noProof/>
            <w:webHidden/>
          </w:rPr>
          <w:instrText xml:space="preserve"> PAGEREF _Toc222131913 \h </w:instrText>
        </w:r>
        <w:r w:rsidR="005267DE">
          <w:rPr>
            <w:noProof/>
            <w:webHidden/>
          </w:rPr>
        </w:r>
        <w:r w:rsidR="005267DE">
          <w:rPr>
            <w:noProof/>
            <w:webHidden/>
          </w:rPr>
          <w:fldChar w:fldCharType="separate"/>
        </w:r>
        <w:r w:rsidR="005267DE">
          <w:rPr>
            <w:noProof/>
            <w:webHidden/>
          </w:rPr>
          <w:t>4</w:t>
        </w:r>
        <w:r w:rsidR="005267DE">
          <w:rPr>
            <w:noProof/>
            <w:webHidden/>
          </w:rPr>
          <w:fldChar w:fldCharType="end"/>
        </w:r>
      </w:hyperlink>
    </w:p>
    <w:p w14:paraId="274F274A" w14:textId="42CCC67D"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4" w:history="1">
        <w:r w:rsidRPr="00B30141">
          <w:rPr>
            <w:rStyle w:val="Hyperlink"/>
            <w:noProof/>
          </w:rPr>
          <w:t>Figure 2.2 - Monitoring locations that exceeded the Air Quality Objective (or were within 10% of exceeding) in 2024</w:t>
        </w:r>
        <w:r>
          <w:rPr>
            <w:noProof/>
            <w:webHidden/>
          </w:rPr>
          <w:tab/>
        </w:r>
        <w:r>
          <w:rPr>
            <w:noProof/>
            <w:webHidden/>
          </w:rPr>
          <w:fldChar w:fldCharType="begin"/>
        </w:r>
        <w:r>
          <w:rPr>
            <w:noProof/>
            <w:webHidden/>
          </w:rPr>
          <w:instrText xml:space="preserve"> PAGEREF _Toc222131914 \h </w:instrText>
        </w:r>
        <w:r>
          <w:rPr>
            <w:noProof/>
            <w:webHidden/>
          </w:rPr>
        </w:r>
        <w:r>
          <w:rPr>
            <w:noProof/>
            <w:webHidden/>
          </w:rPr>
          <w:fldChar w:fldCharType="separate"/>
        </w:r>
        <w:r>
          <w:rPr>
            <w:noProof/>
            <w:webHidden/>
          </w:rPr>
          <w:t>6</w:t>
        </w:r>
        <w:r>
          <w:rPr>
            <w:noProof/>
            <w:webHidden/>
          </w:rPr>
          <w:fldChar w:fldCharType="end"/>
        </w:r>
      </w:hyperlink>
    </w:p>
    <w:p w14:paraId="22A30253" w14:textId="032F8292"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5" w:history="1">
        <w:r w:rsidRPr="00B30141">
          <w:rPr>
            <w:rStyle w:val="Hyperlink"/>
            <w:noProof/>
          </w:rPr>
          <w:t>Figure 2.3 - Annual Mean NO</w:t>
        </w:r>
        <w:r w:rsidRPr="00B30141">
          <w:rPr>
            <w:rStyle w:val="Hyperlink"/>
            <w:noProof/>
            <w:vertAlign w:val="subscript"/>
          </w:rPr>
          <w:t>2</w:t>
        </w:r>
        <w:r w:rsidRPr="00B30141">
          <w:rPr>
            <w:rStyle w:val="Hyperlink"/>
            <w:noProof/>
          </w:rPr>
          <w:t xml:space="preserve"> Concentration Trends at all Monitoring Sites in Newcastle 2019 – 2024</w:t>
        </w:r>
        <w:r>
          <w:rPr>
            <w:noProof/>
            <w:webHidden/>
          </w:rPr>
          <w:tab/>
        </w:r>
        <w:r>
          <w:rPr>
            <w:noProof/>
            <w:webHidden/>
          </w:rPr>
          <w:fldChar w:fldCharType="begin"/>
        </w:r>
        <w:r>
          <w:rPr>
            <w:noProof/>
            <w:webHidden/>
          </w:rPr>
          <w:instrText xml:space="preserve"> PAGEREF _Toc222131915 \h </w:instrText>
        </w:r>
        <w:r>
          <w:rPr>
            <w:noProof/>
            <w:webHidden/>
          </w:rPr>
        </w:r>
        <w:r>
          <w:rPr>
            <w:noProof/>
            <w:webHidden/>
          </w:rPr>
          <w:fldChar w:fldCharType="separate"/>
        </w:r>
        <w:r>
          <w:rPr>
            <w:noProof/>
            <w:webHidden/>
          </w:rPr>
          <w:t>8</w:t>
        </w:r>
        <w:r>
          <w:rPr>
            <w:noProof/>
            <w:webHidden/>
          </w:rPr>
          <w:fldChar w:fldCharType="end"/>
        </w:r>
      </w:hyperlink>
    </w:p>
    <w:p w14:paraId="629CE5B8" w14:textId="27A7E9E2"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6" w:history="1">
        <w:r w:rsidRPr="00B30141">
          <w:rPr>
            <w:rStyle w:val="Hyperlink"/>
            <w:noProof/>
          </w:rPr>
          <w:t xml:space="preserve">Figure 2.4 - Annual Mean </w:t>
        </w:r>
        <w:r w:rsidRPr="00B30141">
          <w:rPr>
            <w:rStyle w:val="Hyperlink"/>
            <w:rFonts w:cs="Arial"/>
            <w:noProof/>
            <w:lang w:val="en-IE"/>
          </w:rPr>
          <w:t>PM</w:t>
        </w:r>
        <w:r w:rsidRPr="00B30141">
          <w:rPr>
            <w:rStyle w:val="Hyperlink"/>
            <w:rFonts w:cs="Arial"/>
            <w:noProof/>
            <w:vertAlign w:val="subscript"/>
            <w:lang w:val="en-IE"/>
          </w:rPr>
          <w:t>10</w:t>
        </w:r>
        <w:r w:rsidRPr="00B30141">
          <w:rPr>
            <w:rStyle w:val="Hyperlink"/>
            <w:noProof/>
          </w:rPr>
          <w:t xml:space="preserve"> Concentration Trends at all Monitoring Sites in Newcastle 2020 – 2024</w:t>
        </w:r>
        <w:r>
          <w:rPr>
            <w:noProof/>
            <w:webHidden/>
          </w:rPr>
          <w:tab/>
        </w:r>
        <w:r>
          <w:rPr>
            <w:noProof/>
            <w:webHidden/>
          </w:rPr>
          <w:fldChar w:fldCharType="begin"/>
        </w:r>
        <w:r>
          <w:rPr>
            <w:noProof/>
            <w:webHidden/>
          </w:rPr>
          <w:instrText xml:space="preserve"> PAGEREF _Toc222131916 \h </w:instrText>
        </w:r>
        <w:r>
          <w:rPr>
            <w:noProof/>
            <w:webHidden/>
          </w:rPr>
        </w:r>
        <w:r>
          <w:rPr>
            <w:noProof/>
            <w:webHidden/>
          </w:rPr>
          <w:fldChar w:fldCharType="separate"/>
        </w:r>
        <w:r>
          <w:rPr>
            <w:noProof/>
            <w:webHidden/>
          </w:rPr>
          <w:t>9</w:t>
        </w:r>
        <w:r>
          <w:rPr>
            <w:noProof/>
            <w:webHidden/>
          </w:rPr>
          <w:fldChar w:fldCharType="end"/>
        </w:r>
      </w:hyperlink>
    </w:p>
    <w:p w14:paraId="3825AD32" w14:textId="57B34350"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7" w:history="1">
        <w:r w:rsidRPr="00B30141">
          <w:rPr>
            <w:rStyle w:val="Hyperlink"/>
            <w:noProof/>
          </w:rPr>
          <w:t xml:space="preserve">Figure 2.5 - Annual Mean </w:t>
        </w:r>
        <w:r w:rsidRPr="00B30141">
          <w:rPr>
            <w:rStyle w:val="Hyperlink"/>
            <w:rFonts w:cs="Arial"/>
            <w:noProof/>
            <w:lang w:val="en-IE"/>
          </w:rPr>
          <w:t>PM</w:t>
        </w:r>
        <w:r w:rsidRPr="00B30141">
          <w:rPr>
            <w:rStyle w:val="Hyperlink"/>
            <w:rFonts w:cs="Arial"/>
            <w:noProof/>
            <w:vertAlign w:val="subscript"/>
            <w:lang w:val="en-IE"/>
          </w:rPr>
          <w:t>2.5</w:t>
        </w:r>
        <w:r w:rsidRPr="00B30141">
          <w:rPr>
            <w:rStyle w:val="Hyperlink"/>
            <w:noProof/>
          </w:rPr>
          <w:t xml:space="preserve"> Concentration Trends at all Monitoring Sites in Newcastle 2020 – 2024</w:t>
        </w:r>
        <w:r>
          <w:rPr>
            <w:noProof/>
            <w:webHidden/>
          </w:rPr>
          <w:tab/>
        </w:r>
        <w:r>
          <w:rPr>
            <w:noProof/>
            <w:webHidden/>
          </w:rPr>
          <w:fldChar w:fldCharType="begin"/>
        </w:r>
        <w:r>
          <w:rPr>
            <w:noProof/>
            <w:webHidden/>
          </w:rPr>
          <w:instrText xml:space="preserve"> PAGEREF _Toc222131917 \h </w:instrText>
        </w:r>
        <w:r>
          <w:rPr>
            <w:noProof/>
            <w:webHidden/>
          </w:rPr>
        </w:r>
        <w:r>
          <w:rPr>
            <w:noProof/>
            <w:webHidden/>
          </w:rPr>
          <w:fldChar w:fldCharType="separate"/>
        </w:r>
        <w:r>
          <w:rPr>
            <w:noProof/>
            <w:webHidden/>
          </w:rPr>
          <w:t>10</w:t>
        </w:r>
        <w:r>
          <w:rPr>
            <w:noProof/>
            <w:webHidden/>
          </w:rPr>
          <w:fldChar w:fldCharType="end"/>
        </w:r>
      </w:hyperlink>
    </w:p>
    <w:p w14:paraId="1872197A" w14:textId="55D93573"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8" w:history="1">
        <w:r w:rsidRPr="00B30141">
          <w:rPr>
            <w:rStyle w:val="Hyperlink"/>
            <w:noProof/>
          </w:rPr>
          <w:t>Figure 3.1 - Car Euro Classification, ANPR and EFT v13.1, 2024</w:t>
        </w:r>
        <w:r>
          <w:rPr>
            <w:noProof/>
            <w:webHidden/>
          </w:rPr>
          <w:tab/>
        </w:r>
        <w:r>
          <w:rPr>
            <w:noProof/>
            <w:webHidden/>
          </w:rPr>
          <w:fldChar w:fldCharType="begin"/>
        </w:r>
        <w:r>
          <w:rPr>
            <w:noProof/>
            <w:webHidden/>
          </w:rPr>
          <w:instrText xml:space="preserve"> PAGEREF _Toc222131918 \h </w:instrText>
        </w:r>
        <w:r>
          <w:rPr>
            <w:noProof/>
            <w:webHidden/>
          </w:rPr>
        </w:r>
        <w:r>
          <w:rPr>
            <w:noProof/>
            <w:webHidden/>
          </w:rPr>
          <w:fldChar w:fldCharType="separate"/>
        </w:r>
        <w:r>
          <w:rPr>
            <w:noProof/>
            <w:webHidden/>
          </w:rPr>
          <w:t>15</w:t>
        </w:r>
        <w:r>
          <w:rPr>
            <w:noProof/>
            <w:webHidden/>
          </w:rPr>
          <w:fldChar w:fldCharType="end"/>
        </w:r>
      </w:hyperlink>
    </w:p>
    <w:p w14:paraId="6C482DA4" w14:textId="3B5FF71F"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19" w:history="1">
        <w:r w:rsidRPr="00B30141">
          <w:rPr>
            <w:rStyle w:val="Hyperlink"/>
            <w:noProof/>
          </w:rPr>
          <w:t>Figure 3.2 - LGV, HGV and Bus Euro Classification, ANPR and EFT v13.1, 2024</w:t>
        </w:r>
        <w:r>
          <w:rPr>
            <w:noProof/>
            <w:webHidden/>
          </w:rPr>
          <w:tab/>
        </w:r>
        <w:r>
          <w:rPr>
            <w:noProof/>
            <w:webHidden/>
          </w:rPr>
          <w:fldChar w:fldCharType="begin"/>
        </w:r>
        <w:r>
          <w:rPr>
            <w:noProof/>
            <w:webHidden/>
          </w:rPr>
          <w:instrText xml:space="preserve"> PAGEREF _Toc222131919 \h </w:instrText>
        </w:r>
        <w:r>
          <w:rPr>
            <w:noProof/>
            <w:webHidden/>
          </w:rPr>
        </w:r>
        <w:r>
          <w:rPr>
            <w:noProof/>
            <w:webHidden/>
          </w:rPr>
          <w:fldChar w:fldCharType="separate"/>
        </w:r>
        <w:r>
          <w:rPr>
            <w:noProof/>
            <w:webHidden/>
          </w:rPr>
          <w:t>16</w:t>
        </w:r>
        <w:r>
          <w:rPr>
            <w:noProof/>
            <w:webHidden/>
          </w:rPr>
          <w:fldChar w:fldCharType="end"/>
        </w:r>
      </w:hyperlink>
    </w:p>
    <w:p w14:paraId="280BE1FE" w14:textId="4A3EC603"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0" w:history="1">
        <w:r w:rsidRPr="00B30141">
          <w:rPr>
            <w:rStyle w:val="Hyperlink"/>
            <w:noProof/>
          </w:rPr>
          <w:t xml:space="preserve">Figure 3.3 - Total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Market Street (DT8)</w:t>
        </w:r>
        <w:r>
          <w:rPr>
            <w:noProof/>
            <w:webHidden/>
          </w:rPr>
          <w:tab/>
        </w:r>
        <w:r>
          <w:rPr>
            <w:noProof/>
            <w:webHidden/>
          </w:rPr>
          <w:fldChar w:fldCharType="begin"/>
        </w:r>
        <w:r>
          <w:rPr>
            <w:noProof/>
            <w:webHidden/>
          </w:rPr>
          <w:instrText xml:space="preserve"> PAGEREF _Toc222131920 \h </w:instrText>
        </w:r>
        <w:r>
          <w:rPr>
            <w:noProof/>
            <w:webHidden/>
          </w:rPr>
        </w:r>
        <w:r>
          <w:rPr>
            <w:noProof/>
            <w:webHidden/>
          </w:rPr>
          <w:fldChar w:fldCharType="separate"/>
        </w:r>
        <w:r>
          <w:rPr>
            <w:noProof/>
            <w:webHidden/>
          </w:rPr>
          <w:t>17</w:t>
        </w:r>
        <w:r>
          <w:rPr>
            <w:noProof/>
            <w:webHidden/>
          </w:rPr>
          <w:fldChar w:fldCharType="end"/>
        </w:r>
      </w:hyperlink>
    </w:p>
    <w:p w14:paraId="6AE99906" w14:textId="4825F2B7"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1" w:history="1">
        <w:r w:rsidRPr="00B30141">
          <w:rPr>
            <w:rStyle w:val="Hyperlink"/>
            <w:noProof/>
          </w:rPr>
          <w:t xml:space="preserve">Figure 3.4 -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Market Street (DT8) – Background Contribution Detail</w:t>
        </w:r>
        <w:r>
          <w:rPr>
            <w:noProof/>
            <w:webHidden/>
          </w:rPr>
          <w:tab/>
        </w:r>
        <w:r>
          <w:rPr>
            <w:noProof/>
            <w:webHidden/>
          </w:rPr>
          <w:fldChar w:fldCharType="begin"/>
        </w:r>
        <w:r>
          <w:rPr>
            <w:noProof/>
            <w:webHidden/>
          </w:rPr>
          <w:instrText xml:space="preserve"> PAGEREF _Toc222131921 \h </w:instrText>
        </w:r>
        <w:r>
          <w:rPr>
            <w:noProof/>
            <w:webHidden/>
          </w:rPr>
        </w:r>
        <w:r>
          <w:rPr>
            <w:noProof/>
            <w:webHidden/>
          </w:rPr>
          <w:fldChar w:fldCharType="separate"/>
        </w:r>
        <w:r>
          <w:rPr>
            <w:noProof/>
            <w:webHidden/>
          </w:rPr>
          <w:t>18</w:t>
        </w:r>
        <w:r>
          <w:rPr>
            <w:noProof/>
            <w:webHidden/>
          </w:rPr>
          <w:fldChar w:fldCharType="end"/>
        </w:r>
      </w:hyperlink>
    </w:p>
    <w:p w14:paraId="1EA06D86" w14:textId="2BCFBD3D"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2" w:history="1">
        <w:r w:rsidRPr="00B30141">
          <w:rPr>
            <w:rStyle w:val="Hyperlink"/>
            <w:noProof/>
          </w:rPr>
          <w:t xml:space="preserve">Figure 3.5 - Total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St Mary’s Place (DT5/115/116)</w:t>
        </w:r>
        <w:r>
          <w:rPr>
            <w:noProof/>
            <w:webHidden/>
          </w:rPr>
          <w:tab/>
        </w:r>
        <w:r>
          <w:rPr>
            <w:noProof/>
            <w:webHidden/>
          </w:rPr>
          <w:fldChar w:fldCharType="begin"/>
        </w:r>
        <w:r>
          <w:rPr>
            <w:noProof/>
            <w:webHidden/>
          </w:rPr>
          <w:instrText xml:space="preserve"> PAGEREF _Toc222131922 \h </w:instrText>
        </w:r>
        <w:r>
          <w:rPr>
            <w:noProof/>
            <w:webHidden/>
          </w:rPr>
        </w:r>
        <w:r>
          <w:rPr>
            <w:noProof/>
            <w:webHidden/>
          </w:rPr>
          <w:fldChar w:fldCharType="separate"/>
        </w:r>
        <w:r>
          <w:rPr>
            <w:noProof/>
            <w:webHidden/>
          </w:rPr>
          <w:t>19</w:t>
        </w:r>
        <w:r>
          <w:rPr>
            <w:noProof/>
            <w:webHidden/>
          </w:rPr>
          <w:fldChar w:fldCharType="end"/>
        </w:r>
      </w:hyperlink>
    </w:p>
    <w:p w14:paraId="0B96685A" w14:textId="789FB381"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3" w:history="1">
        <w:r w:rsidRPr="00B30141">
          <w:rPr>
            <w:rStyle w:val="Hyperlink"/>
            <w:noProof/>
          </w:rPr>
          <w:t xml:space="preserve">Figure 3.6 -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St Mary’s Place (DT5/115/116) – Background Contribution Detail</w:t>
        </w:r>
        <w:r>
          <w:rPr>
            <w:noProof/>
            <w:webHidden/>
          </w:rPr>
          <w:tab/>
        </w:r>
        <w:r>
          <w:rPr>
            <w:noProof/>
            <w:webHidden/>
          </w:rPr>
          <w:fldChar w:fldCharType="begin"/>
        </w:r>
        <w:r>
          <w:rPr>
            <w:noProof/>
            <w:webHidden/>
          </w:rPr>
          <w:instrText xml:space="preserve"> PAGEREF _Toc222131923 \h </w:instrText>
        </w:r>
        <w:r>
          <w:rPr>
            <w:noProof/>
            <w:webHidden/>
          </w:rPr>
        </w:r>
        <w:r>
          <w:rPr>
            <w:noProof/>
            <w:webHidden/>
          </w:rPr>
          <w:fldChar w:fldCharType="separate"/>
        </w:r>
        <w:r>
          <w:rPr>
            <w:noProof/>
            <w:webHidden/>
          </w:rPr>
          <w:t>19</w:t>
        </w:r>
        <w:r>
          <w:rPr>
            <w:noProof/>
            <w:webHidden/>
          </w:rPr>
          <w:fldChar w:fldCharType="end"/>
        </w:r>
      </w:hyperlink>
    </w:p>
    <w:p w14:paraId="242E00CA" w14:textId="694AA8B3"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4" w:history="1">
        <w:r w:rsidRPr="00B30141">
          <w:rPr>
            <w:rStyle w:val="Hyperlink"/>
            <w:noProof/>
          </w:rPr>
          <w:t xml:space="preserve">Figure 3.7 - Total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Stephenson Road (DT81)</w:t>
        </w:r>
        <w:r>
          <w:rPr>
            <w:noProof/>
            <w:webHidden/>
          </w:rPr>
          <w:tab/>
        </w:r>
        <w:r>
          <w:rPr>
            <w:noProof/>
            <w:webHidden/>
          </w:rPr>
          <w:fldChar w:fldCharType="begin"/>
        </w:r>
        <w:r>
          <w:rPr>
            <w:noProof/>
            <w:webHidden/>
          </w:rPr>
          <w:instrText xml:space="preserve"> PAGEREF _Toc222131924 \h </w:instrText>
        </w:r>
        <w:r>
          <w:rPr>
            <w:noProof/>
            <w:webHidden/>
          </w:rPr>
        </w:r>
        <w:r>
          <w:rPr>
            <w:noProof/>
            <w:webHidden/>
          </w:rPr>
          <w:fldChar w:fldCharType="separate"/>
        </w:r>
        <w:r>
          <w:rPr>
            <w:noProof/>
            <w:webHidden/>
          </w:rPr>
          <w:t>20</w:t>
        </w:r>
        <w:r>
          <w:rPr>
            <w:noProof/>
            <w:webHidden/>
          </w:rPr>
          <w:fldChar w:fldCharType="end"/>
        </w:r>
      </w:hyperlink>
    </w:p>
    <w:p w14:paraId="13E112C9" w14:textId="02012992"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5" w:history="1">
        <w:r w:rsidRPr="00B30141">
          <w:rPr>
            <w:rStyle w:val="Hyperlink"/>
            <w:noProof/>
          </w:rPr>
          <w:t xml:space="preserve">Figure 3.8 - </w:t>
        </w:r>
        <w:r w:rsidRPr="00B30141">
          <w:rPr>
            <w:rStyle w:val="Hyperlink"/>
            <w:rFonts w:eastAsia="Arial" w:cs="Arial"/>
            <w:noProof/>
            <w:kern w:val="18"/>
            <w:lang w:val="en-IE"/>
          </w:rPr>
          <w:t>NO</w:t>
        </w:r>
        <w:r w:rsidRPr="00B30141">
          <w:rPr>
            <w:rStyle w:val="Hyperlink"/>
            <w:rFonts w:eastAsia="Arial" w:cs="Arial"/>
            <w:noProof/>
            <w:kern w:val="18"/>
            <w:vertAlign w:val="subscript"/>
            <w:lang w:val="en-IE"/>
          </w:rPr>
          <w:t>2</w:t>
        </w:r>
        <w:r w:rsidRPr="00B30141">
          <w:rPr>
            <w:rStyle w:val="Hyperlink"/>
            <w:noProof/>
          </w:rPr>
          <w:t xml:space="preserve"> Source Apportionment at Stephenson Road (DT81) – Background Contribution Detail</w:t>
        </w:r>
        <w:r>
          <w:rPr>
            <w:noProof/>
            <w:webHidden/>
          </w:rPr>
          <w:tab/>
        </w:r>
        <w:r>
          <w:rPr>
            <w:noProof/>
            <w:webHidden/>
          </w:rPr>
          <w:fldChar w:fldCharType="begin"/>
        </w:r>
        <w:r>
          <w:rPr>
            <w:noProof/>
            <w:webHidden/>
          </w:rPr>
          <w:instrText xml:space="preserve"> PAGEREF _Toc222131925 \h </w:instrText>
        </w:r>
        <w:r>
          <w:rPr>
            <w:noProof/>
            <w:webHidden/>
          </w:rPr>
        </w:r>
        <w:r>
          <w:rPr>
            <w:noProof/>
            <w:webHidden/>
          </w:rPr>
          <w:fldChar w:fldCharType="separate"/>
        </w:r>
        <w:r>
          <w:rPr>
            <w:noProof/>
            <w:webHidden/>
          </w:rPr>
          <w:t>21</w:t>
        </w:r>
        <w:r>
          <w:rPr>
            <w:noProof/>
            <w:webHidden/>
          </w:rPr>
          <w:fldChar w:fldCharType="end"/>
        </w:r>
      </w:hyperlink>
    </w:p>
    <w:p w14:paraId="3C9A74D9" w14:textId="1AEB3041"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6" w:history="1">
        <w:r w:rsidRPr="00B30141">
          <w:rPr>
            <w:rStyle w:val="Hyperlink"/>
            <w:noProof/>
          </w:rPr>
          <w:t xml:space="preserve">Figure 3.9 - Total </w:t>
        </w:r>
        <w:r w:rsidRPr="00B30141">
          <w:rPr>
            <w:rStyle w:val="Hyperlink"/>
            <w:noProof/>
            <w:lang w:val="en-IE"/>
          </w:rPr>
          <w:t>PM</w:t>
        </w:r>
        <w:r w:rsidRPr="00B30141">
          <w:rPr>
            <w:rStyle w:val="Hyperlink"/>
            <w:noProof/>
            <w:vertAlign w:val="subscript"/>
            <w:lang w:val="en-IE"/>
          </w:rPr>
          <w:t>10</w:t>
        </w:r>
        <w:r w:rsidRPr="00B30141">
          <w:rPr>
            <w:rStyle w:val="Hyperlink"/>
            <w:noProof/>
            <w:lang w:val="en-IE"/>
          </w:rPr>
          <w:t xml:space="preserve"> </w:t>
        </w:r>
        <w:r w:rsidRPr="00B30141">
          <w:rPr>
            <w:rStyle w:val="Hyperlink"/>
            <w:noProof/>
          </w:rPr>
          <w:t>Source Apportionment at Jesmond Road (Cradlewell continuous monitor)</w:t>
        </w:r>
        <w:r>
          <w:rPr>
            <w:noProof/>
            <w:webHidden/>
          </w:rPr>
          <w:tab/>
        </w:r>
        <w:r>
          <w:rPr>
            <w:noProof/>
            <w:webHidden/>
          </w:rPr>
          <w:fldChar w:fldCharType="begin"/>
        </w:r>
        <w:r>
          <w:rPr>
            <w:noProof/>
            <w:webHidden/>
          </w:rPr>
          <w:instrText xml:space="preserve"> PAGEREF _Toc222131926 \h </w:instrText>
        </w:r>
        <w:r>
          <w:rPr>
            <w:noProof/>
            <w:webHidden/>
          </w:rPr>
        </w:r>
        <w:r>
          <w:rPr>
            <w:noProof/>
            <w:webHidden/>
          </w:rPr>
          <w:fldChar w:fldCharType="separate"/>
        </w:r>
        <w:r>
          <w:rPr>
            <w:noProof/>
            <w:webHidden/>
          </w:rPr>
          <w:t>22</w:t>
        </w:r>
        <w:r>
          <w:rPr>
            <w:noProof/>
            <w:webHidden/>
          </w:rPr>
          <w:fldChar w:fldCharType="end"/>
        </w:r>
      </w:hyperlink>
    </w:p>
    <w:p w14:paraId="0C817BC8" w14:textId="5F0F853F"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7" w:history="1">
        <w:r w:rsidRPr="00B30141">
          <w:rPr>
            <w:rStyle w:val="Hyperlink"/>
            <w:noProof/>
          </w:rPr>
          <w:t xml:space="preserve">Figure 3.10 - </w:t>
        </w:r>
        <w:r w:rsidRPr="00B30141">
          <w:rPr>
            <w:rStyle w:val="Hyperlink"/>
            <w:rFonts w:eastAsia="Arial" w:cs="Arial"/>
            <w:noProof/>
            <w:kern w:val="18"/>
            <w:lang w:val="en-IE"/>
          </w:rPr>
          <w:t>PM</w:t>
        </w:r>
        <w:r w:rsidRPr="00B30141">
          <w:rPr>
            <w:rStyle w:val="Hyperlink"/>
            <w:rFonts w:eastAsia="Arial" w:cs="Arial"/>
            <w:noProof/>
            <w:kern w:val="18"/>
            <w:vertAlign w:val="subscript"/>
            <w:lang w:val="en-IE"/>
          </w:rPr>
          <w:t>10</w:t>
        </w:r>
        <w:r w:rsidRPr="00B30141">
          <w:rPr>
            <w:rStyle w:val="Hyperlink"/>
            <w:noProof/>
          </w:rPr>
          <w:t xml:space="preserve"> Source Apportionment at Jesmond Road (Cradlewell continuous monitor) – Background Contribution Detail</w:t>
        </w:r>
        <w:r>
          <w:rPr>
            <w:noProof/>
            <w:webHidden/>
          </w:rPr>
          <w:tab/>
        </w:r>
        <w:r>
          <w:rPr>
            <w:noProof/>
            <w:webHidden/>
          </w:rPr>
          <w:fldChar w:fldCharType="begin"/>
        </w:r>
        <w:r>
          <w:rPr>
            <w:noProof/>
            <w:webHidden/>
          </w:rPr>
          <w:instrText xml:space="preserve"> PAGEREF _Toc222131927 \h </w:instrText>
        </w:r>
        <w:r>
          <w:rPr>
            <w:noProof/>
            <w:webHidden/>
          </w:rPr>
        </w:r>
        <w:r>
          <w:rPr>
            <w:noProof/>
            <w:webHidden/>
          </w:rPr>
          <w:fldChar w:fldCharType="separate"/>
        </w:r>
        <w:r>
          <w:rPr>
            <w:noProof/>
            <w:webHidden/>
          </w:rPr>
          <w:t>23</w:t>
        </w:r>
        <w:r>
          <w:rPr>
            <w:noProof/>
            <w:webHidden/>
          </w:rPr>
          <w:fldChar w:fldCharType="end"/>
        </w:r>
      </w:hyperlink>
    </w:p>
    <w:p w14:paraId="5E765E0D" w14:textId="1821B7C4"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8" w:history="1">
        <w:r w:rsidRPr="00B30141">
          <w:rPr>
            <w:rStyle w:val="Hyperlink"/>
            <w:noProof/>
          </w:rPr>
          <w:t xml:space="preserve">Figure 3.11 - </w:t>
        </w:r>
        <w:r w:rsidRPr="00B30141">
          <w:rPr>
            <w:rStyle w:val="Hyperlink"/>
            <w:rFonts w:eastAsia="Arial" w:cs="Arial"/>
            <w:noProof/>
            <w:kern w:val="18"/>
            <w:lang w:val="en-IE"/>
          </w:rPr>
          <w:t>PM</w:t>
        </w:r>
        <w:r w:rsidRPr="00B30141">
          <w:rPr>
            <w:rStyle w:val="Hyperlink"/>
            <w:rFonts w:eastAsia="Arial" w:cs="Arial"/>
            <w:noProof/>
            <w:kern w:val="18"/>
            <w:vertAlign w:val="subscript"/>
            <w:lang w:val="en-IE"/>
          </w:rPr>
          <w:t>10</w:t>
        </w:r>
        <w:r w:rsidRPr="00B30141">
          <w:rPr>
            <w:rStyle w:val="Hyperlink"/>
            <w:noProof/>
          </w:rPr>
          <w:t xml:space="preserve"> Source Apportionment at St Mary’s Place (Newcastle City Centre continuous monitor) – Background Contribution Detail</w:t>
        </w:r>
        <w:r>
          <w:rPr>
            <w:noProof/>
            <w:webHidden/>
          </w:rPr>
          <w:tab/>
        </w:r>
        <w:r>
          <w:rPr>
            <w:noProof/>
            <w:webHidden/>
          </w:rPr>
          <w:fldChar w:fldCharType="begin"/>
        </w:r>
        <w:r>
          <w:rPr>
            <w:noProof/>
            <w:webHidden/>
          </w:rPr>
          <w:instrText xml:space="preserve"> PAGEREF _Toc222131928 \h </w:instrText>
        </w:r>
        <w:r>
          <w:rPr>
            <w:noProof/>
            <w:webHidden/>
          </w:rPr>
        </w:r>
        <w:r>
          <w:rPr>
            <w:noProof/>
            <w:webHidden/>
          </w:rPr>
          <w:fldChar w:fldCharType="separate"/>
        </w:r>
        <w:r>
          <w:rPr>
            <w:noProof/>
            <w:webHidden/>
          </w:rPr>
          <w:t>24</w:t>
        </w:r>
        <w:r>
          <w:rPr>
            <w:noProof/>
            <w:webHidden/>
          </w:rPr>
          <w:fldChar w:fldCharType="end"/>
        </w:r>
      </w:hyperlink>
    </w:p>
    <w:p w14:paraId="7E0313FA" w14:textId="19CB8592"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29" w:history="1">
        <w:r w:rsidRPr="00B30141">
          <w:rPr>
            <w:rStyle w:val="Hyperlink"/>
            <w:noProof/>
          </w:rPr>
          <w:t xml:space="preserve">Figure 3.12 - </w:t>
        </w:r>
        <w:r w:rsidRPr="00B30141">
          <w:rPr>
            <w:rStyle w:val="Hyperlink"/>
            <w:rFonts w:eastAsia="Arial" w:cs="Arial"/>
            <w:noProof/>
            <w:kern w:val="18"/>
            <w:lang w:val="en-IE"/>
          </w:rPr>
          <w:t>PM</w:t>
        </w:r>
        <w:r w:rsidRPr="00B30141">
          <w:rPr>
            <w:rStyle w:val="Hyperlink"/>
            <w:rFonts w:eastAsia="Arial" w:cs="Arial"/>
            <w:noProof/>
            <w:kern w:val="18"/>
            <w:vertAlign w:val="subscript"/>
            <w:lang w:val="en-IE"/>
          </w:rPr>
          <w:t>2.5</w:t>
        </w:r>
        <w:r w:rsidRPr="00B30141">
          <w:rPr>
            <w:rStyle w:val="Hyperlink"/>
            <w:noProof/>
          </w:rPr>
          <w:t xml:space="preserve"> Source Apportionment at St Mary’s Place (Newcastle City Centre continuous monitor) – Background Contribution Detail</w:t>
        </w:r>
        <w:r>
          <w:rPr>
            <w:noProof/>
            <w:webHidden/>
          </w:rPr>
          <w:tab/>
        </w:r>
        <w:r>
          <w:rPr>
            <w:noProof/>
            <w:webHidden/>
          </w:rPr>
          <w:fldChar w:fldCharType="begin"/>
        </w:r>
        <w:r>
          <w:rPr>
            <w:noProof/>
            <w:webHidden/>
          </w:rPr>
          <w:instrText xml:space="preserve"> PAGEREF _Toc222131929 \h </w:instrText>
        </w:r>
        <w:r>
          <w:rPr>
            <w:noProof/>
            <w:webHidden/>
          </w:rPr>
        </w:r>
        <w:r>
          <w:rPr>
            <w:noProof/>
            <w:webHidden/>
          </w:rPr>
          <w:fldChar w:fldCharType="separate"/>
        </w:r>
        <w:r>
          <w:rPr>
            <w:noProof/>
            <w:webHidden/>
          </w:rPr>
          <w:t>24</w:t>
        </w:r>
        <w:r>
          <w:rPr>
            <w:noProof/>
            <w:webHidden/>
          </w:rPr>
          <w:fldChar w:fldCharType="end"/>
        </w:r>
      </w:hyperlink>
    </w:p>
    <w:p w14:paraId="5722564E" w14:textId="5A33D61E"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30" w:history="1">
        <w:r w:rsidRPr="00B30141">
          <w:rPr>
            <w:rStyle w:val="Hyperlink"/>
            <w:noProof/>
          </w:rPr>
          <w:t>Figure 3.13 - Percentage change of emissions based on 2024 at Market Street</w:t>
        </w:r>
        <w:r>
          <w:rPr>
            <w:noProof/>
            <w:webHidden/>
          </w:rPr>
          <w:tab/>
        </w:r>
        <w:r>
          <w:rPr>
            <w:noProof/>
            <w:webHidden/>
          </w:rPr>
          <w:fldChar w:fldCharType="begin"/>
        </w:r>
        <w:r>
          <w:rPr>
            <w:noProof/>
            <w:webHidden/>
          </w:rPr>
          <w:instrText xml:space="preserve"> PAGEREF _Toc222131930 \h </w:instrText>
        </w:r>
        <w:r>
          <w:rPr>
            <w:noProof/>
            <w:webHidden/>
          </w:rPr>
        </w:r>
        <w:r>
          <w:rPr>
            <w:noProof/>
            <w:webHidden/>
          </w:rPr>
          <w:fldChar w:fldCharType="separate"/>
        </w:r>
        <w:r>
          <w:rPr>
            <w:noProof/>
            <w:webHidden/>
          </w:rPr>
          <w:t>28</w:t>
        </w:r>
        <w:r>
          <w:rPr>
            <w:noProof/>
            <w:webHidden/>
          </w:rPr>
          <w:fldChar w:fldCharType="end"/>
        </w:r>
      </w:hyperlink>
    </w:p>
    <w:p w14:paraId="5B55CB2C" w14:textId="475F0980"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31" w:history="1">
        <w:r w:rsidRPr="00B30141">
          <w:rPr>
            <w:rStyle w:val="Hyperlink"/>
            <w:noProof/>
          </w:rPr>
          <w:t>Figure 6.1 - Proportion of compliant and non-compliant vehicles entering the Clean Air Zone in 2024</w:t>
        </w:r>
        <w:r>
          <w:rPr>
            <w:noProof/>
            <w:webHidden/>
          </w:rPr>
          <w:tab/>
        </w:r>
        <w:r>
          <w:rPr>
            <w:noProof/>
            <w:webHidden/>
          </w:rPr>
          <w:fldChar w:fldCharType="begin"/>
        </w:r>
        <w:r>
          <w:rPr>
            <w:noProof/>
            <w:webHidden/>
          </w:rPr>
          <w:instrText xml:space="preserve"> PAGEREF _Toc222131931 \h </w:instrText>
        </w:r>
        <w:r>
          <w:rPr>
            <w:noProof/>
            <w:webHidden/>
          </w:rPr>
        </w:r>
        <w:r>
          <w:rPr>
            <w:noProof/>
            <w:webHidden/>
          </w:rPr>
          <w:fldChar w:fldCharType="separate"/>
        </w:r>
        <w:r>
          <w:rPr>
            <w:noProof/>
            <w:webHidden/>
          </w:rPr>
          <w:t>43</w:t>
        </w:r>
        <w:r>
          <w:rPr>
            <w:noProof/>
            <w:webHidden/>
          </w:rPr>
          <w:fldChar w:fldCharType="end"/>
        </w:r>
      </w:hyperlink>
    </w:p>
    <w:p w14:paraId="056032DA" w14:textId="23467C3A" w:rsidR="005267DE" w:rsidRDefault="005267DE">
      <w:pPr>
        <w:pStyle w:val="TableofFigures"/>
        <w:rPr>
          <w:rFonts w:asciiTheme="minorHAnsi" w:eastAsiaTheme="minorEastAsia" w:hAnsiTheme="minorHAnsi" w:cstheme="minorBidi"/>
          <w:noProof/>
          <w:kern w:val="2"/>
          <w:szCs w:val="24"/>
          <w:lang w:eastAsia="en-GB"/>
          <w14:ligatures w14:val="standardContextual"/>
        </w:rPr>
      </w:pPr>
      <w:hyperlink w:anchor="_Toc222131932" w:history="1">
        <w:r w:rsidRPr="00B30141">
          <w:rPr>
            <w:rStyle w:val="Hyperlink"/>
            <w:noProof/>
          </w:rPr>
          <w:t>Figure 6.2 - Projected proportion of compliant and non-compliant Diesel Cars, Diesel LGVs and Buses entering the Clean Air Zone from 2025 – 2030</w:t>
        </w:r>
        <w:r>
          <w:rPr>
            <w:noProof/>
            <w:webHidden/>
          </w:rPr>
          <w:tab/>
        </w:r>
        <w:r>
          <w:rPr>
            <w:noProof/>
            <w:webHidden/>
          </w:rPr>
          <w:fldChar w:fldCharType="begin"/>
        </w:r>
        <w:r>
          <w:rPr>
            <w:noProof/>
            <w:webHidden/>
          </w:rPr>
          <w:instrText xml:space="preserve"> PAGEREF _Toc222131932 \h </w:instrText>
        </w:r>
        <w:r>
          <w:rPr>
            <w:noProof/>
            <w:webHidden/>
          </w:rPr>
        </w:r>
        <w:r>
          <w:rPr>
            <w:noProof/>
            <w:webHidden/>
          </w:rPr>
          <w:fldChar w:fldCharType="separate"/>
        </w:r>
        <w:r>
          <w:rPr>
            <w:noProof/>
            <w:webHidden/>
          </w:rPr>
          <w:t>44</w:t>
        </w:r>
        <w:r>
          <w:rPr>
            <w:noProof/>
            <w:webHidden/>
          </w:rPr>
          <w:fldChar w:fldCharType="end"/>
        </w:r>
      </w:hyperlink>
    </w:p>
    <w:p w14:paraId="43C36A2E" w14:textId="568B7CD5" w:rsidR="005267DE" w:rsidRDefault="0047044D" w:rsidP="005D047D">
      <w:pPr>
        <w:rPr>
          <w:color w:val="FF0000"/>
        </w:rPr>
        <w:sectPr w:rsidR="005267DE" w:rsidSect="005267DE">
          <w:footerReference w:type="default" r:id="rId16"/>
          <w:pgSz w:w="11906" w:h="16838" w:code="9"/>
          <w:pgMar w:top="1474" w:right="1418" w:bottom="1134" w:left="1418" w:header="964" w:footer="454" w:gutter="0"/>
          <w:pgNumType w:fmt="lowerRoman"/>
          <w:cols w:space="708"/>
          <w:docGrid w:linePitch="360"/>
        </w:sectPr>
      </w:pPr>
      <w:r w:rsidRPr="005D047D">
        <w:rPr>
          <w:color w:val="FF0000"/>
        </w:rPr>
        <w:fldChar w:fldCharType="end"/>
      </w:r>
    </w:p>
    <w:p w14:paraId="31F94B1D" w14:textId="5BC42911" w:rsidR="005267DE" w:rsidRDefault="005267DE" w:rsidP="005267DE">
      <w:pPr>
        <w:pStyle w:val="Heading1"/>
      </w:pPr>
      <w:bookmarkStart w:id="6" w:name="_Toc222131857"/>
      <w:r>
        <w:lastRenderedPageBreak/>
        <w:t>Introduction</w:t>
      </w:r>
      <w:bookmarkEnd w:id="6"/>
    </w:p>
    <w:p w14:paraId="71F855F6" w14:textId="0A19A790" w:rsidR="00C90040" w:rsidRPr="00C44D7E" w:rsidRDefault="639369E3" w:rsidP="005D047D">
      <w:r>
        <w:t xml:space="preserve">This report outlines the actions that </w:t>
      </w:r>
      <w:r w:rsidR="00C44D7E" w:rsidRPr="00C44D7E">
        <w:t>Newcastle City Council</w:t>
      </w:r>
      <w:r w:rsidR="3007F3A6" w:rsidRPr="00C44D7E">
        <w:t xml:space="preserve"> </w:t>
      </w:r>
      <w:r>
        <w:t>will deliver between</w:t>
      </w:r>
      <w:r w:rsidR="00C44D7E">
        <w:t xml:space="preserve"> 202</w:t>
      </w:r>
      <w:r w:rsidR="00536F9C">
        <w:t>6</w:t>
      </w:r>
      <w:r w:rsidR="00C44D7E">
        <w:t xml:space="preserve"> - 2030</w:t>
      </w:r>
      <w:r>
        <w:t xml:space="preserve"> in order to reduce concentrations of </w:t>
      </w:r>
      <w:r w:rsidR="15C70EFA">
        <w:t>air pollutants</w:t>
      </w:r>
      <w:r>
        <w:t xml:space="preserve"> and exposure to </w:t>
      </w:r>
      <w:r w:rsidR="15C70EFA">
        <w:t xml:space="preserve">air </w:t>
      </w:r>
      <w:r>
        <w:t xml:space="preserve">pollution; thereby positively impacting on the health and quality of life of residents and visitors to the </w:t>
      </w:r>
      <w:r w:rsidR="00C44D7E" w:rsidRPr="00C44D7E">
        <w:t>Newcastle City Council</w:t>
      </w:r>
      <w:r w:rsidR="00096027">
        <w:t xml:space="preserve"> administrative area</w:t>
      </w:r>
      <w:r w:rsidRPr="00C44D7E">
        <w:t>.</w:t>
      </w:r>
      <w:r w:rsidR="28DD1E88" w:rsidRPr="00C44D7E">
        <w:t xml:space="preserve"> </w:t>
      </w:r>
      <w:r w:rsidR="28DD1E88">
        <w:t>The purpose of the report is to set</w:t>
      </w:r>
      <w:r w:rsidR="6F8799DE">
        <w:t xml:space="preserve"> </w:t>
      </w:r>
      <w:r w:rsidR="28DD1E88">
        <w:t xml:space="preserve">out how the local authority will exercise its functions in order to </w:t>
      </w:r>
      <w:r w:rsidR="5C66822D">
        <w:t xml:space="preserve">achieve the </w:t>
      </w:r>
      <w:r w:rsidR="5C66822D" w:rsidRPr="00133517">
        <w:t>relevant</w:t>
      </w:r>
      <w:r w:rsidR="28DD1E88" w:rsidRPr="00133517">
        <w:t xml:space="preserve"> air quality objectives.</w:t>
      </w:r>
      <w:r w:rsidR="628AD1AE" w:rsidRPr="00133517">
        <w:rPr>
          <w:color w:val="FF0000"/>
        </w:rPr>
        <w:t xml:space="preserve"> </w:t>
      </w:r>
      <w:r w:rsidR="628AD1AE" w:rsidRPr="00133517">
        <w:t>This action plan is a</w:t>
      </w:r>
      <w:r w:rsidR="00C44D7E" w:rsidRPr="00133517">
        <w:t xml:space="preserve"> draft</w:t>
      </w:r>
      <w:r w:rsidR="628AD1AE" w:rsidRPr="00133517">
        <w:t xml:space="preserve"> version and will be adopted from </w:t>
      </w:r>
      <w:r w:rsidR="00133517" w:rsidRPr="00133517">
        <w:t>[TBC]</w:t>
      </w:r>
      <w:r w:rsidR="628AD1AE" w:rsidRPr="00133517">
        <w:t>.</w:t>
      </w:r>
    </w:p>
    <w:p w14:paraId="4658B0F9" w14:textId="2C5E10DA" w:rsidR="00397124" w:rsidRDefault="639369E3" w:rsidP="00397124">
      <w:r>
        <w:t xml:space="preserve">It has been developed in recognition of the legal requirement on the local authority to </w:t>
      </w:r>
      <w:r w:rsidR="7B11AE46">
        <w:t>achieve and maintain</w:t>
      </w:r>
      <w:r>
        <w:t xml:space="preserve"> </w:t>
      </w:r>
      <w:r w:rsidR="32AA8CC9">
        <w:t>A</w:t>
      </w:r>
      <w:r w:rsidR="278CBB2C">
        <w:t xml:space="preserve">ir </w:t>
      </w:r>
      <w:r w:rsidR="0F03FE7A">
        <w:t>Q</w:t>
      </w:r>
      <w:r w:rsidR="278CBB2C">
        <w:t>uality</w:t>
      </w:r>
      <w:r>
        <w:t xml:space="preserve"> </w:t>
      </w:r>
      <w:r w:rsidR="26F15BE1">
        <w:t>O</w:t>
      </w:r>
      <w:r>
        <w:t>bjectives under Part IV of the Environment Act 1995</w:t>
      </w:r>
      <w:r w:rsidR="55A5AC73">
        <w:t>, as amended by the Environment Act 2021,</w:t>
      </w:r>
      <w:r>
        <w:t xml:space="preserve"> and to meet the requirements of the Local Air Quality Management </w:t>
      </w:r>
      <w:r w:rsidR="15C70EFA">
        <w:t xml:space="preserve">(LAQM) </w:t>
      </w:r>
      <w:r>
        <w:t>statutory process.</w:t>
      </w:r>
    </w:p>
    <w:p w14:paraId="213F9369" w14:textId="34D678C8" w:rsidR="00397124" w:rsidRDefault="008A7DF2" w:rsidP="00397124">
      <w:pPr>
        <w:sectPr w:rsidR="00397124" w:rsidSect="005D047D">
          <w:pgSz w:w="11906" w:h="16838" w:code="9"/>
          <w:pgMar w:top="1474" w:right="1418" w:bottom="1134" w:left="1418" w:header="964" w:footer="454" w:gutter="0"/>
          <w:pgNumType w:start="1"/>
          <w:cols w:space="708"/>
          <w:docGrid w:linePitch="360"/>
        </w:sectPr>
      </w:pPr>
      <w:r>
        <w:t xml:space="preserve">This Plan will be reviewed every five years at the latest and progress on measures set out within this Plan will be reported on annually within </w:t>
      </w:r>
      <w:r w:rsidR="00C44D7E">
        <w:t xml:space="preserve">Newcastle City Council’s </w:t>
      </w:r>
      <w:r w:rsidR="00386918">
        <w:t>air quality</w:t>
      </w:r>
      <w:r w:rsidR="00096027">
        <w:t xml:space="preserve"> Annual Status Report</w:t>
      </w:r>
      <w:r w:rsidR="00386918">
        <w:t xml:space="preserve"> </w:t>
      </w:r>
      <w:r w:rsidR="00096027">
        <w:t>(</w:t>
      </w:r>
      <w:r w:rsidR="00360F4A">
        <w:t>ASR</w:t>
      </w:r>
      <w:r w:rsidR="00096027">
        <w:t>).</w:t>
      </w:r>
    </w:p>
    <w:p w14:paraId="1F06ED07" w14:textId="4931676E" w:rsidR="0020047D" w:rsidRPr="00E3664B" w:rsidRDefault="0020047D" w:rsidP="000E0C77">
      <w:pPr>
        <w:pStyle w:val="Heading1"/>
      </w:pPr>
      <w:bookmarkStart w:id="7" w:name="_Toc222131858"/>
      <w:bookmarkStart w:id="8" w:name="_Toc88485994"/>
      <w:bookmarkStart w:id="9" w:name="_Toc141346886"/>
      <w:r w:rsidRPr="00E3664B">
        <w:lastRenderedPageBreak/>
        <w:t>Summary of Current Air Quality in</w:t>
      </w:r>
      <w:r w:rsidR="00C44D7E">
        <w:t xml:space="preserve"> Newcastle City Council</w:t>
      </w:r>
      <w:bookmarkEnd w:id="7"/>
      <w:r w:rsidRPr="00E3664B">
        <w:t xml:space="preserve"> </w:t>
      </w:r>
      <w:bookmarkEnd w:id="8"/>
      <w:bookmarkEnd w:id="9"/>
    </w:p>
    <w:p w14:paraId="34C4251D" w14:textId="4A24644D" w:rsidR="00474748" w:rsidRDefault="00FE50B7" w:rsidP="00E351DA">
      <w:pPr>
        <w:pStyle w:val="Heading2"/>
        <w:numPr>
          <w:ilvl w:val="1"/>
          <w:numId w:val="11"/>
        </w:numPr>
      </w:pPr>
      <w:bookmarkStart w:id="10" w:name="_Toc141346887"/>
      <w:bookmarkStart w:id="11" w:name="_Ref149655495"/>
      <w:bookmarkStart w:id="12" w:name="_Toc222131859"/>
      <w:r>
        <w:t xml:space="preserve">Air Quality </w:t>
      </w:r>
      <w:r w:rsidR="46A174BD">
        <w:t>Management</w:t>
      </w:r>
      <w:r>
        <w:t xml:space="preserve"> Areas</w:t>
      </w:r>
      <w:bookmarkEnd w:id="10"/>
      <w:bookmarkEnd w:id="11"/>
      <w:bookmarkEnd w:id="12"/>
    </w:p>
    <w:p w14:paraId="15B840A6" w14:textId="77777777" w:rsidR="00C44D7E" w:rsidRDefault="00701A23" w:rsidP="00C44D7E">
      <w:r w:rsidRPr="002D2F62">
        <w:t>The relevant Air Quality Management Areas (AQMAs) addressed by this AQAP are outlined below</w:t>
      </w:r>
      <w:r w:rsidR="005B69ED">
        <w:t>.</w:t>
      </w:r>
      <w:bookmarkStart w:id="13" w:name="_Ref140845713"/>
    </w:p>
    <w:p w14:paraId="209FA024" w14:textId="1C5E3EC2" w:rsidR="00C44D7E" w:rsidRDefault="00C44D7E" w:rsidP="00C44D7E">
      <w:r>
        <w:t xml:space="preserve">Two AQMAs have been declared by Newcastle City Council for exceedances of the annual mean objective for nitrogen </w:t>
      </w:r>
      <w:r w:rsidRPr="00C44D7E">
        <w:t>dioxide (</w:t>
      </w:r>
      <w:r w:rsidRPr="00C44D7E">
        <w:rPr>
          <w:rFonts w:eastAsia="Arial" w:cs="Arial"/>
          <w:kern w:val="18"/>
          <w:lang w:val="en-IE"/>
        </w:rPr>
        <w:t>NO</w:t>
      </w:r>
      <w:r w:rsidRPr="00C44D7E">
        <w:rPr>
          <w:rFonts w:eastAsia="Arial" w:cs="Arial"/>
          <w:kern w:val="18"/>
          <w:vertAlign w:val="subscript"/>
          <w:lang w:val="en-IE"/>
        </w:rPr>
        <w:t>2</w:t>
      </w:r>
      <w:r w:rsidRPr="00C44D7E">
        <w:t>) in</w:t>
      </w:r>
      <w:r>
        <w:t xml:space="preserve"> 2008.</w:t>
      </w:r>
      <w:r w:rsidR="004573FE">
        <w:t xml:space="preserve"> </w:t>
      </w:r>
      <w:r>
        <w:t>AQMA No</w:t>
      </w:r>
      <w:r w:rsidR="001A6CBA">
        <w:t>.</w:t>
      </w:r>
      <w:r>
        <w:t xml:space="preserve"> 1b (city centre) encompasses the previous AQMAs 1-3, covering Newcastle city centre. AQMA No. </w:t>
      </w:r>
      <w:r w:rsidR="001A6CBA">
        <w:t xml:space="preserve">5 (Gosforth) encompasses parts of the A189 and B1318 in Gosforth. </w:t>
      </w:r>
    </w:p>
    <w:p w14:paraId="5AE05313" w14:textId="4EAE5069" w:rsidR="004267AE" w:rsidRDefault="004267AE" w:rsidP="00C44D7E">
      <w:r w:rsidRPr="004267AE">
        <w:t xml:space="preserve">It is the intention of Newcastle City Council to revoke AQMA No. 5 (Gosforth) as annual mean </w:t>
      </w:r>
      <w:r w:rsidRPr="004267AE">
        <w:rPr>
          <w:lang w:val="en-IE"/>
        </w:rPr>
        <w:t>NO</w:t>
      </w:r>
      <w:r w:rsidRPr="004267AE">
        <w:rPr>
          <w:vertAlign w:val="subscript"/>
          <w:lang w:val="en-IE"/>
        </w:rPr>
        <w:t>2</w:t>
      </w:r>
      <w:r w:rsidRPr="004267AE">
        <w:t xml:space="preserve"> concentrations have been compliant for five years. </w:t>
      </w:r>
    </w:p>
    <w:p w14:paraId="35C298E1" w14:textId="1D3EBE64" w:rsidR="00745D5D" w:rsidRPr="00D65422" w:rsidRDefault="00745D5D" w:rsidP="00C44D7E">
      <w:pPr>
        <w:sectPr w:rsidR="00745D5D" w:rsidRPr="00D65422" w:rsidSect="002B4B5B">
          <w:pgSz w:w="11906" w:h="16838" w:code="9"/>
          <w:pgMar w:top="1474" w:right="1418" w:bottom="1134" w:left="1418" w:header="964" w:footer="454" w:gutter="0"/>
          <w:cols w:space="708"/>
          <w:docGrid w:linePitch="360"/>
        </w:sectPr>
      </w:pPr>
      <w:r>
        <w:t>This AQAP therefore covers AQMA No. 1b (city centre) only.</w:t>
      </w:r>
      <w:r w:rsidR="003C0A69">
        <w:t xml:space="preserve"> The extent of AQMA No. 1b can be seen in</w:t>
      </w:r>
      <w:r w:rsidR="001826D2">
        <w:t xml:space="preserve"> </w:t>
      </w:r>
      <w:r w:rsidR="001826D2">
        <w:fldChar w:fldCharType="begin"/>
      </w:r>
      <w:r w:rsidR="001826D2">
        <w:instrText xml:space="preserve"> REF _Ref209771117 \h </w:instrText>
      </w:r>
      <w:r w:rsidR="001826D2">
        <w:fldChar w:fldCharType="separate"/>
      </w:r>
      <w:r w:rsidR="001826D2">
        <w:t xml:space="preserve">Figure </w:t>
      </w:r>
      <w:r w:rsidR="001826D2">
        <w:rPr>
          <w:noProof/>
        </w:rPr>
        <w:t>2</w:t>
      </w:r>
      <w:r w:rsidR="001826D2">
        <w:t>.</w:t>
      </w:r>
      <w:r w:rsidR="001826D2">
        <w:rPr>
          <w:noProof/>
        </w:rPr>
        <w:t>1</w:t>
      </w:r>
      <w:r w:rsidR="001826D2">
        <w:fldChar w:fldCharType="end"/>
      </w:r>
      <w:r w:rsidR="00D04771">
        <w:t>.</w:t>
      </w:r>
    </w:p>
    <w:p w14:paraId="72396BCE" w14:textId="4DC98A54" w:rsidR="000D2118" w:rsidRPr="000D2118" w:rsidRDefault="00B83CC6" w:rsidP="00D04771">
      <w:pPr>
        <w:pStyle w:val="Caption"/>
      </w:pPr>
      <w:bookmarkStart w:id="14" w:name="_Hlk203395737"/>
      <w:bookmarkStart w:id="15" w:name="_Toc222131895"/>
      <w:r>
        <w:lastRenderedPageBreak/>
        <w:t xml:space="preserve">Table </w:t>
      </w:r>
      <w:r>
        <w:fldChar w:fldCharType="begin"/>
      </w:r>
      <w:r>
        <w:instrText>STYLEREF 1 \s</w:instrText>
      </w:r>
      <w:r>
        <w:fldChar w:fldCharType="separate"/>
      </w:r>
      <w:r w:rsidR="000D2118">
        <w:rPr>
          <w:noProof/>
        </w:rPr>
        <w:t>2</w:t>
      </w:r>
      <w:r>
        <w:fldChar w:fldCharType="end"/>
      </w:r>
      <w:r>
        <w:t>.</w:t>
      </w:r>
      <w:r>
        <w:fldChar w:fldCharType="begin"/>
      </w:r>
      <w:r>
        <w:instrText>SEQ Table \* ARABIC \s 1</w:instrText>
      </w:r>
      <w:r>
        <w:fldChar w:fldCharType="separate"/>
      </w:r>
      <w:r w:rsidR="000D2118">
        <w:rPr>
          <w:noProof/>
        </w:rPr>
        <w:t>1</w:t>
      </w:r>
      <w:r>
        <w:fldChar w:fldCharType="end"/>
      </w:r>
      <w:bookmarkEnd w:id="13"/>
      <w:bookmarkEnd w:id="14"/>
      <w:r w:rsidR="00397E48">
        <w:t xml:space="preserve"> </w:t>
      </w:r>
      <w:r w:rsidR="00397E48" w:rsidRPr="0040723F">
        <w:rPr>
          <w:shd w:val="clear" w:color="auto" w:fill="E6E6E6"/>
        </w:rPr>
        <w:t xml:space="preserve">– </w:t>
      </w:r>
      <w:r w:rsidR="00397E48">
        <w:rPr>
          <w:shd w:val="clear" w:color="auto" w:fill="E6E6E6"/>
        </w:rPr>
        <w:t xml:space="preserve">Relevant </w:t>
      </w:r>
      <w:r w:rsidR="00397E48" w:rsidRPr="0040723F">
        <w:rPr>
          <w:shd w:val="clear" w:color="auto" w:fill="E6E6E6"/>
        </w:rPr>
        <w:t>Declared Air Quality Management Areas</w:t>
      </w:r>
      <w:bookmarkEnd w:id="15"/>
    </w:p>
    <w:tbl>
      <w:tblPr>
        <w:tblStyle w:val="TableStyle4"/>
        <w:tblW w:w="14382" w:type="dxa"/>
        <w:tblLook w:val="04A0" w:firstRow="1" w:lastRow="0" w:firstColumn="1" w:lastColumn="0" w:noHBand="0" w:noVBand="1"/>
        <w:tblCaption w:val="Declared Air Quality Management Areas"/>
        <w:tblDescription w:val="The table shows the current AQMAs that are designated within the council."/>
      </w:tblPr>
      <w:tblGrid>
        <w:gridCol w:w="1285"/>
        <w:gridCol w:w="1424"/>
        <w:gridCol w:w="1353"/>
        <w:gridCol w:w="2297"/>
        <w:gridCol w:w="2297"/>
        <w:gridCol w:w="1903"/>
        <w:gridCol w:w="2128"/>
        <w:gridCol w:w="1695"/>
      </w:tblGrid>
      <w:tr w:rsidR="00163047" w:rsidRPr="008C2ADD" w14:paraId="233196F9" w14:textId="77777777" w:rsidTr="001A6C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85" w:type="dxa"/>
            <w:shd w:val="clear" w:color="auto" w:fill="006600"/>
            <w:hideMark/>
          </w:tcPr>
          <w:p w14:paraId="1A070F1E" w14:textId="77777777" w:rsidR="00274B10" w:rsidRPr="008C2ADD" w:rsidRDefault="00274B10" w:rsidP="00274B10">
            <w:pPr>
              <w:spacing w:before="0" w:after="0" w:line="240" w:lineRule="auto"/>
              <w:rPr>
                <w:rFonts w:eastAsia="Times New Roman" w:cs="Arial"/>
                <w:bCs/>
                <w:sz w:val="20"/>
                <w:szCs w:val="20"/>
                <w:lang w:val="en-US" w:eastAsia="zh-CN"/>
              </w:rPr>
            </w:pPr>
            <w:r w:rsidRPr="008C2ADD">
              <w:rPr>
                <w:rFonts w:eastAsia="Times New Roman" w:cs="Arial"/>
                <w:bCs/>
                <w:sz w:val="20"/>
                <w:szCs w:val="20"/>
                <w:lang w:val="en-US" w:eastAsia="zh-CN"/>
              </w:rPr>
              <w:t>AQMA Name</w:t>
            </w:r>
          </w:p>
        </w:tc>
        <w:tc>
          <w:tcPr>
            <w:tcW w:w="1424" w:type="dxa"/>
            <w:shd w:val="clear" w:color="auto" w:fill="006600"/>
            <w:hideMark/>
          </w:tcPr>
          <w:p w14:paraId="1BDBA0A8"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Date of Declaration</w:t>
            </w:r>
          </w:p>
        </w:tc>
        <w:tc>
          <w:tcPr>
            <w:tcW w:w="1353" w:type="dxa"/>
            <w:shd w:val="clear" w:color="auto" w:fill="006600"/>
            <w:hideMark/>
          </w:tcPr>
          <w:p w14:paraId="53AF0DB2"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Pollutants and Air Quality Objectives</w:t>
            </w:r>
          </w:p>
        </w:tc>
        <w:tc>
          <w:tcPr>
            <w:tcW w:w="2297" w:type="dxa"/>
            <w:shd w:val="clear" w:color="auto" w:fill="006600"/>
            <w:hideMark/>
          </w:tcPr>
          <w:p w14:paraId="7DAD3622" w14:textId="7777777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One Line Description</w:t>
            </w:r>
          </w:p>
        </w:tc>
        <w:tc>
          <w:tcPr>
            <w:tcW w:w="2297" w:type="dxa"/>
            <w:shd w:val="clear" w:color="auto" w:fill="006600"/>
          </w:tcPr>
          <w:p w14:paraId="62DFB9B1" w14:textId="04C0F432" w:rsidR="5A36D72A" w:rsidRPr="00E55388" w:rsidRDefault="5A36D72A" w:rsidP="00E55388">
            <w:pPr>
              <w:spacing w:line="240" w:lineRule="auto"/>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E55388">
              <w:rPr>
                <w:color w:val="FFFFFF" w:themeColor="background1"/>
                <w:sz w:val="20"/>
                <w:szCs w:val="20"/>
              </w:rPr>
              <w:t>Is air quality within the AQMA influenced by National Highways roads?</w:t>
            </w:r>
          </w:p>
        </w:tc>
        <w:tc>
          <w:tcPr>
            <w:tcW w:w="1903" w:type="dxa"/>
            <w:shd w:val="clear" w:color="auto" w:fill="006600"/>
          </w:tcPr>
          <w:p w14:paraId="6216D219" w14:textId="287C9B85"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lang w:val="en-US" w:eastAsia="zh-CN"/>
              </w:rPr>
            </w:pPr>
            <w:r w:rsidRPr="008C2ADD">
              <w:rPr>
                <w:rFonts w:eastAsia="Times New Roman" w:cs="Arial"/>
                <w:bCs/>
                <w:sz w:val="20"/>
                <w:szCs w:val="20"/>
                <w:lang w:val="en-US" w:eastAsia="zh-CN"/>
              </w:rPr>
              <w:t>Level of Exceedance: Declaration</w:t>
            </w:r>
            <w:r w:rsidRPr="008C2ADD">
              <w:rPr>
                <w:rFonts w:eastAsia="Times New Roman" w:cs="Arial"/>
                <w:color w:val="000000"/>
                <w:sz w:val="16"/>
                <w:szCs w:val="16"/>
                <w:lang w:val="en-US" w:eastAsia="zh-CN"/>
              </w:rPr>
              <w:t> </w:t>
            </w:r>
          </w:p>
        </w:tc>
        <w:tc>
          <w:tcPr>
            <w:tcW w:w="2128" w:type="dxa"/>
            <w:shd w:val="clear" w:color="auto" w:fill="006600"/>
          </w:tcPr>
          <w:p w14:paraId="033BFD2B" w14:textId="59D3C60C"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cs="Arial"/>
                <w:bCs/>
                <w:sz w:val="20"/>
                <w:szCs w:val="20"/>
                <w:lang w:val="en-US" w:eastAsia="zh-CN"/>
              </w:rPr>
            </w:pPr>
            <w:r w:rsidRPr="008C2ADD">
              <w:rPr>
                <w:rFonts w:eastAsia="Times New Roman" w:cs="Arial"/>
                <w:bCs/>
                <w:sz w:val="20"/>
                <w:szCs w:val="20"/>
                <w:lang w:val="en-US" w:eastAsia="zh-CN"/>
              </w:rPr>
              <w:t>Level of Exceedance: Current Year</w:t>
            </w:r>
          </w:p>
        </w:tc>
        <w:tc>
          <w:tcPr>
            <w:tcW w:w="1695" w:type="dxa"/>
            <w:shd w:val="clear" w:color="auto" w:fill="006600"/>
            <w:hideMark/>
          </w:tcPr>
          <w:p w14:paraId="69B22EB9" w14:textId="4D8BB217" w:rsidR="00274B10" w:rsidRPr="008C2ADD" w:rsidRDefault="00274B10" w:rsidP="00274B10">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lang w:val="en-US" w:eastAsia="zh-CN"/>
              </w:rPr>
            </w:pPr>
            <w:r w:rsidRPr="008C2ADD">
              <w:rPr>
                <w:rFonts w:eastAsia="Times New Roman" w:cs="Arial"/>
                <w:bCs/>
                <w:sz w:val="20"/>
                <w:szCs w:val="20"/>
                <w:lang w:val="en-US" w:eastAsia="zh-CN"/>
              </w:rPr>
              <w:t xml:space="preserve">Number of Years Compliant with Air Quality Objective </w:t>
            </w:r>
          </w:p>
        </w:tc>
      </w:tr>
      <w:tr w:rsidR="001A6CBA" w:rsidRPr="008C2ADD" w14:paraId="3CC29926" w14:textId="77777777" w:rsidTr="001A6CBA">
        <w:trPr>
          <w:trHeight w:val="1725"/>
        </w:trPr>
        <w:tc>
          <w:tcPr>
            <w:cnfStyle w:val="001000000000" w:firstRow="0" w:lastRow="0" w:firstColumn="1" w:lastColumn="0" w:oddVBand="0" w:evenVBand="0" w:oddHBand="0" w:evenHBand="0" w:firstRowFirstColumn="0" w:firstRowLastColumn="0" w:lastRowFirstColumn="0" w:lastRowLastColumn="0"/>
            <w:tcW w:w="1285" w:type="dxa"/>
            <w:hideMark/>
          </w:tcPr>
          <w:p w14:paraId="40798275" w14:textId="3803DFE9" w:rsidR="001A6CBA" w:rsidRPr="008C2ADD" w:rsidRDefault="001A6CBA" w:rsidP="001A6CBA">
            <w:pPr>
              <w:spacing w:before="0" w:after="0" w:line="240" w:lineRule="auto"/>
              <w:rPr>
                <w:rFonts w:eastAsia="Times New Roman" w:cs="Arial"/>
                <w:color w:val="FF0000"/>
                <w:sz w:val="20"/>
                <w:szCs w:val="20"/>
                <w:lang w:val="en-US" w:eastAsia="zh-CN"/>
              </w:rPr>
            </w:pPr>
            <w:r w:rsidRPr="009203EF">
              <w:t>AQMA No. 1b (city centre)</w:t>
            </w:r>
          </w:p>
        </w:tc>
        <w:tc>
          <w:tcPr>
            <w:tcW w:w="1424" w:type="dxa"/>
            <w:hideMark/>
          </w:tcPr>
          <w:p w14:paraId="108E9E98" w14:textId="47B50EF2" w:rsidR="001A6CBA" w:rsidRPr="008C2ADD" w:rsidRDefault="001A6CBA"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9203EF">
              <w:t>Declared April 2008</w:t>
            </w:r>
          </w:p>
        </w:tc>
        <w:tc>
          <w:tcPr>
            <w:tcW w:w="1353" w:type="dxa"/>
            <w:hideMark/>
          </w:tcPr>
          <w:p w14:paraId="4A66E9C3" w14:textId="32543333" w:rsidR="001A6CBA" w:rsidRPr="008C2ADD" w:rsidRDefault="001A6CBA"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9203EF">
              <w:t>NO</w:t>
            </w:r>
            <w:r w:rsidRPr="001A6CBA">
              <w:rPr>
                <w:vertAlign w:val="subscript"/>
              </w:rPr>
              <w:t>2</w:t>
            </w:r>
            <w:r w:rsidRPr="009203EF">
              <w:t xml:space="preserve"> Annual Mean</w:t>
            </w:r>
          </w:p>
        </w:tc>
        <w:tc>
          <w:tcPr>
            <w:tcW w:w="2297" w:type="dxa"/>
            <w:hideMark/>
          </w:tcPr>
          <w:p w14:paraId="6922AEAF" w14:textId="3371A1F2" w:rsidR="001A6CBA" w:rsidRPr="008C2ADD" w:rsidRDefault="001A6CBA"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9203EF">
              <w:t>An area encompassing the previous AQMAs 1-3, covering Newcastle city centre.</w:t>
            </w:r>
          </w:p>
        </w:tc>
        <w:tc>
          <w:tcPr>
            <w:tcW w:w="2297" w:type="dxa"/>
          </w:tcPr>
          <w:p w14:paraId="5347AAC2" w14:textId="47CC85EB" w:rsidR="001A6CBA" w:rsidRDefault="001A6CBA" w:rsidP="001A6CBA">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rsidRPr="009203EF">
              <w:t>N</w:t>
            </w:r>
            <w:r w:rsidR="00096027">
              <w:t>o</w:t>
            </w:r>
          </w:p>
        </w:tc>
        <w:tc>
          <w:tcPr>
            <w:tcW w:w="1903" w:type="dxa"/>
          </w:tcPr>
          <w:p w14:paraId="67203875" w14:textId="21A7D8C8" w:rsidR="001A6CBA" w:rsidRPr="008C2ADD" w:rsidRDefault="001A6CBA"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lang w:val="en-US" w:eastAsia="zh-CN"/>
              </w:rPr>
            </w:pPr>
            <w:r w:rsidRPr="009203EF">
              <w:t>127.3 µg/m</w:t>
            </w:r>
            <w:r w:rsidRPr="001A6CBA">
              <w:rPr>
                <w:vertAlign w:val="superscript"/>
              </w:rPr>
              <w:t>3</w:t>
            </w:r>
            <w:r w:rsidRPr="009203EF">
              <w:t xml:space="preserve"> (measured 2004 concentration)</w:t>
            </w:r>
          </w:p>
        </w:tc>
        <w:tc>
          <w:tcPr>
            <w:tcW w:w="2128" w:type="dxa"/>
          </w:tcPr>
          <w:p w14:paraId="5F772121" w14:textId="5220D292" w:rsidR="001A6CBA" w:rsidRPr="008C2ADD" w:rsidRDefault="001A6CBA"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FF0000"/>
                <w:sz w:val="20"/>
                <w:szCs w:val="20"/>
                <w:lang w:val="en-US" w:eastAsia="zh-CN"/>
              </w:rPr>
            </w:pPr>
            <w:r w:rsidRPr="009203EF">
              <w:t>38.5</w:t>
            </w:r>
          </w:p>
        </w:tc>
        <w:tc>
          <w:tcPr>
            <w:tcW w:w="1695" w:type="dxa"/>
            <w:hideMark/>
          </w:tcPr>
          <w:p w14:paraId="6EF13157" w14:textId="0C3A5434" w:rsidR="001A6CBA" w:rsidRPr="008C2ADD" w:rsidRDefault="00DE3B19" w:rsidP="001A6CB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color w:val="FF0000"/>
                <w:sz w:val="20"/>
                <w:szCs w:val="20"/>
                <w:lang w:val="en-US" w:eastAsia="zh-CN"/>
              </w:rPr>
            </w:pPr>
            <w:r>
              <w:t xml:space="preserve">0 </w:t>
            </w:r>
            <w:r w:rsidR="00B53911">
              <w:t>year</w:t>
            </w:r>
            <w:r w:rsidR="00096027">
              <w:t>s</w:t>
            </w:r>
          </w:p>
        </w:tc>
      </w:tr>
    </w:tbl>
    <w:p w14:paraId="4C9D47DA" w14:textId="545A63D0" w:rsidR="003C0A69" w:rsidRPr="00D04771" w:rsidRDefault="003C0A69" w:rsidP="00D04771">
      <w:pPr>
        <w:rPr>
          <w:lang w:val="en-US" w:eastAsia="zh-CN"/>
        </w:rPr>
        <w:sectPr w:rsidR="003C0A69" w:rsidRPr="00D04771" w:rsidSect="0021416E">
          <w:pgSz w:w="16838" w:h="11906" w:orient="landscape" w:code="9"/>
          <w:pgMar w:top="1418" w:right="1474" w:bottom="1418" w:left="1134" w:header="964" w:footer="454" w:gutter="0"/>
          <w:cols w:space="708"/>
          <w:docGrid w:linePitch="360"/>
        </w:sectPr>
      </w:pPr>
    </w:p>
    <w:p w14:paraId="1B477082" w14:textId="7A3DC7EA" w:rsidR="003C0A69" w:rsidRDefault="003C0A69" w:rsidP="00E351DA">
      <w:pPr>
        <w:pStyle w:val="Heading2"/>
        <w:numPr>
          <w:ilvl w:val="1"/>
          <w:numId w:val="11"/>
        </w:numPr>
      </w:pPr>
      <w:bookmarkStart w:id="16" w:name="_Toc222131860"/>
      <w:r>
        <w:lastRenderedPageBreak/>
        <w:t>Clean Air Zone</w:t>
      </w:r>
      <w:bookmarkEnd w:id="16"/>
    </w:p>
    <w:p w14:paraId="41782918" w14:textId="2280BFD4" w:rsidR="00D04771" w:rsidRPr="00D04771" w:rsidRDefault="00D04771" w:rsidP="00EB0567">
      <w:r>
        <w:t>In January 2023, a Government mandated Clean Air Zone (CAZ) was implemented in part of Newcastle and Gateshead. This CAZ is a class C that charges all buses, coaches, taxis, private hire vehicles (PHVs), heavy goods vehicles (HGVs), vans and minibuses that do not meet the Euro 6</w:t>
      </w:r>
      <w:r w:rsidR="007666D1">
        <w:t>/VI</w:t>
      </w:r>
      <w:r>
        <w:t xml:space="preserve"> emissions standards for diesel </w:t>
      </w:r>
      <w:r w:rsidR="00664F03">
        <w:t xml:space="preserve">vehicles </w:t>
      </w:r>
      <w:r>
        <w:t>and Euro 4 for petrol</w:t>
      </w:r>
      <w:r w:rsidR="00664F03">
        <w:t xml:space="preserve"> vehicles</w:t>
      </w:r>
      <w:r>
        <w:t xml:space="preserve">. The extent of the CAZ can be seen in </w:t>
      </w:r>
      <w:r w:rsidR="001826D2">
        <w:fldChar w:fldCharType="begin"/>
      </w:r>
      <w:r w:rsidR="001826D2">
        <w:instrText xml:space="preserve"> REF _Ref209771117 \h </w:instrText>
      </w:r>
      <w:r w:rsidR="001826D2">
        <w:fldChar w:fldCharType="separate"/>
      </w:r>
      <w:r w:rsidR="001826D2">
        <w:t xml:space="preserve">Figure </w:t>
      </w:r>
      <w:r w:rsidR="001826D2">
        <w:rPr>
          <w:noProof/>
        </w:rPr>
        <w:t>2</w:t>
      </w:r>
      <w:r w:rsidR="001826D2">
        <w:t>.</w:t>
      </w:r>
      <w:r w:rsidR="001826D2">
        <w:rPr>
          <w:noProof/>
        </w:rPr>
        <w:t>1</w:t>
      </w:r>
      <w:r w:rsidR="001826D2">
        <w:fldChar w:fldCharType="end"/>
      </w:r>
      <w:r>
        <w:t>.</w:t>
      </w:r>
    </w:p>
    <w:p w14:paraId="024C6985" w14:textId="7BF2BAAF" w:rsidR="003C0A69" w:rsidRDefault="003C0A69" w:rsidP="003C0A69">
      <w:r>
        <w:rPr>
          <w:noProof/>
        </w:rPr>
        <w:drawing>
          <wp:inline distT="0" distB="0" distL="0" distR="0" wp14:anchorId="117CCEA3" wp14:editId="1B368B84">
            <wp:extent cx="5753100" cy="4067175"/>
            <wp:effectExtent l="0" t="0" r="0" b="9525"/>
            <wp:docPr id="318088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067175"/>
                    </a:xfrm>
                    <a:prstGeom prst="rect">
                      <a:avLst/>
                    </a:prstGeom>
                    <a:noFill/>
                    <a:ln>
                      <a:noFill/>
                    </a:ln>
                  </pic:spPr>
                </pic:pic>
              </a:graphicData>
            </a:graphic>
          </wp:inline>
        </w:drawing>
      </w:r>
    </w:p>
    <w:p w14:paraId="47031D66" w14:textId="05A03A4C" w:rsidR="001826D2" w:rsidRPr="001826D2" w:rsidRDefault="001826D2" w:rsidP="001826D2">
      <w:pPr>
        <w:pStyle w:val="Caption"/>
      </w:pPr>
      <w:bookmarkStart w:id="17" w:name="_Ref209771117"/>
      <w:bookmarkStart w:id="18" w:name="_Toc222131913"/>
      <w:r>
        <w:t xml:space="preserve">Figure </w:t>
      </w:r>
      <w:r w:rsidR="00946EE5">
        <w:fldChar w:fldCharType="begin"/>
      </w:r>
      <w:r w:rsidR="00946EE5">
        <w:instrText xml:space="preserve"> STYLEREF 1 \s </w:instrText>
      </w:r>
      <w:r w:rsidR="00946EE5">
        <w:fldChar w:fldCharType="separate"/>
      </w:r>
      <w:r w:rsidR="00946EE5">
        <w:rPr>
          <w:noProof/>
        </w:rPr>
        <w:t>2</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1</w:t>
      </w:r>
      <w:r w:rsidR="00946EE5">
        <w:fldChar w:fldCharType="end"/>
      </w:r>
      <w:bookmarkEnd w:id="17"/>
      <w:r>
        <w:t>- Air Quality Management Area and Clean Air Zone</w:t>
      </w:r>
      <w:bookmarkEnd w:id="18"/>
    </w:p>
    <w:p w14:paraId="643943A7" w14:textId="4628D8BB" w:rsidR="0072407C" w:rsidRDefault="00FE50B7" w:rsidP="00E351DA">
      <w:pPr>
        <w:pStyle w:val="Heading2"/>
        <w:numPr>
          <w:ilvl w:val="1"/>
          <w:numId w:val="11"/>
        </w:numPr>
      </w:pPr>
      <w:bookmarkStart w:id="19" w:name="_Toc141346888"/>
      <w:bookmarkStart w:id="20" w:name="_Toc222131861"/>
      <w:r>
        <w:t>Public Exposure</w:t>
      </w:r>
      <w:bookmarkEnd w:id="19"/>
      <w:bookmarkEnd w:id="20"/>
    </w:p>
    <w:p w14:paraId="5D45876E" w14:textId="50492BF8" w:rsidR="00400D40" w:rsidRDefault="00C129D2" w:rsidP="0005447E">
      <w:r w:rsidRPr="00C129D2">
        <w:t xml:space="preserve">Newcastle </w:t>
      </w:r>
      <w:r>
        <w:t xml:space="preserve">has an estimated population of </w:t>
      </w:r>
      <w:r w:rsidR="00A02440">
        <w:t>300,200</w:t>
      </w:r>
      <w:r w:rsidR="00A02440">
        <w:rPr>
          <w:rStyle w:val="FootnoteReference"/>
        </w:rPr>
        <w:footnoteReference w:id="6"/>
      </w:r>
      <w:r w:rsidR="00A02440">
        <w:t xml:space="preserve"> (in 2021).</w:t>
      </w:r>
      <w:r>
        <w:t xml:space="preserve"> </w:t>
      </w:r>
      <w:r w:rsidR="00B50CA0">
        <w:t>Approximately 45,361</w:t>
      </w:r>
      <w:r w:rsidR="00B50CA0">
        <w:rPr>
          <w:rStyle w:val="FootnoteReference"/>
        </w:rPr>
        <w:footnoteReference w:id="7"/>
      </w:r>
      <w:r w:rsidR="00B50CA0">
        <w:t xml:space="preserve"> people (in mid-2022) are </w:t>
      </w:r>
      <w:r w:rsidR="00A02440">
        <w:t>living within the AQMA No. 1b (city centre)</w:t>
      </w:r>
      <w:r w:rsidR="00B50CA0">
        <w:t xml:space="preserve">, however, not all </w:t>
      </w:r>
      <w:r>
        <w:lastRenderedPageBreak/>
        <w:t>are exposed to</w:t>
      </w:r>
      <w:r w:rsidR="00B36E5F">
        <w:t xml:space="preserve"> nitrogen dioxide</w:t>
      </w:r>
      <w:r>
        <w:t xml:space="preserve"> </w:t>
      </w:r>
      <w:r w:rsidR="00B36E5F">
        <w:t>(</w:t>
      </w:r>
      <w:r w:rsidRPr="00400D40">
        <w:rPr>
          <w:rFonts w:eastAsia="Arial" w:cs="Arial"/>
          <w:kern w:val="18"/>
          <w:lang w:val="en-IE"/>
        </w:rPr>
        <w:t>NO</w:t>
      </w:r>
      <w:r w:rsidRPr="00400D40">
        <w:rPr>
          <w:rFonts w:eastAsia="Arial" w:cs="Arial"/>
          <w:kern w:val="18"/>
          <w:vertAlign w:val="subscript"/>
          <w:lang w:val="en-IE"/>
        </w:rPr>
        <w:t>2</w:t>
      </w:r>
      <w:r w:rsidR="00B36E5F">
        <w:rPr>
          <w:rFonts w:eastAsia="Arial" w:cs="Arial"/>
          <w:kern w:val="18"/>
          <w:lang w:val="en-IE"/>
        </w:rPr>
        <w:t>)</w:t>
      </w:r>
      <w:r w:rsidRPr="00400D40">
        <w:t xml:space="preserve"> in exceedance</w:t>
      </w:r>
      <w:r>
        <w:t xml:space="preserve"> of the air quality objective.</w:t>
      </w:r>
      <w:r w:rsidR="004573FE">
        <w:t xml:space="preserve"> </w:t>
      </w:r>
      <w:r>
        <w:t xml:space="preserve">Newcastle is </w:t>
      </w:r>
      <w:r w:rsidR="0090365E">
        <w:t>an urban</w:t>
      </w:r>
      <w:r w:rsidR="00400D40">
        <w:t xml:space="preserve"> area and </w:t>
      </w:r>
      <w:r w:rsidR="0090365E">
        <w:t>its</w:t>
      </w:r>
      <w:r w:rsidR="00400D40">
        <w:t xml:space="preserve"> road network </w:t>
      </w:r>
      <w:r w:rsidR="0090365E">
        <w:t xml:space="preserve">features </w:t>
      </w:r>
      <w:r w:rsidR="00400D40">
        <w:t>major arterial roads including the A1 which runs from north to south through the Council</w:t>
      </w:r>
      <w:r w:rsidR="004F6DB1">
        <w:t>’s administrative area</w:t>
      </w:r>
      <w:r w:rsidR="00400D40">
        <w:t xml:space="preserve">, </w:t>
      </w:r>
      <w:r w:rsidR="00A57BA6">
        <w:t>the</w:t>
      </w:r>
      <w:r w:rsidR="00400D40">
        <w:t xml:space="preserve"> A167(M) which </w:t>
      </w:r>
      <w:r w:rsidR="00A57BA6">
        <w:t>connects</w:t>
      </w:r>
      <w:r w:rsidR="00400D40">
        <w:t xml:space="preserve"> the city</w:t>
      </w:r>
      <w:r w:rsidR="00A57BA6">
        <w:t xml:space="preserve"> and the Tyne Bridge to the A1, and the A1058 which connects the city to the coast</w:t>
      </w:r>
      <w:r w:rsidR="00400D40">
        <w:t>. A summary of the current air quality (2024) in the Council</w:t>
      </w:r>
      <w:r w:rsidR="004F6DB1">
        <w:t>’s administrative area</w:t>
      </w:r>
      <w:r w:rsidR="00400D40">
        <w:t xml:space="preserve"> is provided below.</w:t>
      </w:r>
    </w:p>
    <w:p w14:paraId="17321734" w14:textId="0448A427" w:rsidR="00A02440" w:rsidRDefault="00A02440" w:rsidP="0005447E">
      <w:r w:rsidRPr="00A02440">
        <w:t>Newcastle operates a monitoring network comprising of four automatic monitoring analysers</w:t>
      </w:r>
      <w:r w:rsidR="00B36E5F">
        <w:t xml:space="preserve"> (continuous ambient monitoring sites (CMS))</w:t>
      </w:r>
      <w:r w:rsidRPr="00A02440">
        <w:t xml:space="preserve">, monitoring </w:t>
      </w:r>
      <w:r w:rsidRPr="00A02440">
        <w:rPr>
          <w:rFonts w:eastAsia="Arial" w:cs="Arial"/>
          <w:kern w:val="18"/>
          <w:lang w:val="en-IE"/>
        </w:rPr>
        <w:t>NO</w:t>
      </w:r>
      <w:r w:rsidRPr="00A02440">
        <w:rPr>
          <w:rFonts w:eastAsia="Arial" w:cs="Arial"/>
          <w:kern w:val="18"/>
          <w:vertAlign w:val="subscript"/>
          <w:lang w:val="en-IE"/>
        </w:rPr>
        <w:t>2</w:t>
      </w:r>
      <w:r w:rsidRPr="00A02440">
        <w:t>, particulate matter (</w:t>
      </w:r>
      <w:r w:rsidRPr="00A02440">
        <w:rPr>
          <w:rFonts w:cs="Arial"/>
          <w:lang w:val="en-IE"/>
        </w:rPr>
        <w:t>PM</w:t>
      </w:r>
      <w:r w:rsidRPr="00A02440">
        <w:rPr>
          <w:rFonts w:cs="Arial"/>
          <w:vertAlign w:val="subscript"/>
          <w:lang w:val="en-IE"/>
        </w:rPr>
        <w:t>10</w:t>
      </w:r>
      <w:r w:rsidRPr="00A02440">
        <w:t xml:space="preserve"> and </w:t>
      </w:r>
      <w:r w:rsidRPr="00A02440">
        <w:rPr>
          <w:rFonts w:cs="Arial"/>
          <w:lang w:val="en-IE"/>
        </w:rPr>
        <w:t>PM</w:t>
      </w:r>
      <w:r w:rsidRPr="00A02440">
        <w:rPr>
          <w:rFonts w:cs="Arial"/>
          <w:vertAlign w:val="subscript"/>
          <w:lang w:val="en-IE"/>
        </w:rPr>
        <w:t>2.5</w:t>
      </w:r>
      <w:r w:rsidRPr="00A02440">
        <w:t>) and ozone (O</w:t>
      </w:r>
      <w:r w:rsidRPr="00A02440">
        <w:rPr>
          <w:vertAlign w:val="subscript"/>
        </w:rPr>
        <w:t>3</w:t>
      </w:r>
      <w:r w:rsidRPr="00A02440">
        <w:t xml:space="preserve">) as well as </w:t>
      </w:r>
      <w:r>
        <w:t xml:space="preserve">62 </w:t>
      </w:r>
      <w:r w:rsidR="00B36E5F">
        <w:t>NO</w:t>
      </w:r>
      <w:r w:rsidR="00B36E5F" w:rsidRPr="00DF643F">
        <w:rPr>
          <w:vertAlign w:val="subscript"/>
        </w:rPr>
        <w:t>2</w:t>
      </w:r>
      <w:r w:rsidR="00B36E5F">
        <w:t xml:space="preserve"> </w:t>
      </w:r>
      <w:r>
        <w:t xml:space="preserve">passive diffusion tube monitoring sites. </w:t>
      </w:r>
    </w:p>
    <w:p w14:paraId="23E80660" w14:textId="71CE0C76" w:rsidR="00A02440" w:rsidRPr="001826D2" w:rsidRDefault="00A02440" w:rsidP="001826D2">
      <w:pPr>
        <w:pStyle w:val="Caption"/>
        <w:rPr>
          <w:b w:val="0"/>
          <w:bCs w:val="0"/>
          <w:color w:val="auto"/>
        </w:rPr>
      </w:pPr>
      <w:r w:rsidRPr="001826D2">
        <w:rPr>
          <w:b w:val="0"/>
          <w:bCs w:val="0"/>
          <w:color w:val="auto"/>
        </w:rPr>
        <w:t xml:space="preserve">In 2024, there were </w:t>
      </w:r>
      <w:r w:rsidR="000D2118" w:rsidRPr="001826D2">
        <w:rPr>
          <w:b w:val="0"/>
          <w:bCs w:val="0"/>
          <w:color w:val="auto"/>
        </w:rPr>
        <w:t>t</w:t>
      </w:r>
      <w:r w:rsidR="00AE681C">
        <w:rPr>
          <w:b w:val="0"/>
          <w:bCs w:val="0"/>
          <w:color w:val="auto"/>
        </w:rPr>
        <w:t>wo</w:t>
      </w:r>
      <w:r w:rsidR="000D2118" w:rsidRPr="001826D2">
        <w:rPr>
          <w:b w:val="0"/>
          <w:bCs w:val="0"/>
          <w:color w:val="auto"/>
        </w:rPr>
        <w:t xml:space="preserve"> monitoring locations which monitored </w:t>
      </w:r>
      <w:r w:rsidR="000D2118" w:rsidRPr="001826D2">
        <w:rPr>
          <w:rFonts w:eastAsia="Arial" w:cs="Arial"/>
          <w:b w:val="0"/>
          <w:bCs w:val="0"/>
          <w:color w:val="auto"/>
          <w:kern w:val="18"/>
          <w:lang w:val="en-IE"/>
        </w:rPr>
        <w:t>NO</w:t>
      </w:r>
      <w:r w:rsidR="000D2118" w:rsidRPr="001826D2">
        <w:rPr>
          <w:rFonts w:eastAsia="Arial" w:cs="Arial"/>
          <w:b w:val="0"/>
          <w:bCs w:val="0"/>
          <w:color w:val="auto"/>
          <w:kern w:val="18"/>
          <w:vertAlign w:val="subscript"/>
          <w:lang w:val="en-IE"/>
        </w:rPr>
        <w:t>2</w:t>
      </w:r>
      <w:r w:rsidR="000D2118" w:rsidRPr="001826D2">
        <w:rPr>
          <w:b w:val="0"/>
          <w:bCs w:val="0"/>
          <w:color w:val="auto"/>
        </w:rPr>
        <w:t xml:space="preserve"> concentrations above the annual mean objective for </w:t>
      </w:r>
      <w:r w:rsidR="000D2118" w:rsidRPr="001826D2">
        <w:rPr>
          <w:rFonts w:eastAsia="Arial" w:cs="Arial"/>
          <w:b w:val="0"/>
          <w:bCs w:val="0"/>
          <w:color w:val="auto"/>
          <w:kern w:val="18"/>
          <w:lang w:val="en-IE"/>
        </w:rPr>
        <w:t>NO</w:t>
      </w:r>
      <w:r w:rsidR="000D2118" w:rsidRPr="001826D2">
        <w:rPr>
          <w:rFonts w:eastAsia="Arial" w:cs="Arial"/>
          <w:b w:val="0"/>
          <w:bCs w:val="0"/>
          <w:color w:val="auto"/>
          <w:kern w:val="18"/>
          <w:vertAlign w:val="subscript"/>
          <w:lang w:val="en-IE"/>
        </w:rPr>
        <w:t>2</w:t>
      </w:r>
      <w:r w:rsidR="000D2118" w:rsidRPr="001826D2">
        <w:rPr>
          <w:b w:val="0"/>
          <w:bCs w:val="0"/>
          <w:color w:val="auto"/>
        </w:rPr>
        <w:t xml:space="preserve"> of 40 </w:t>
      </w:r>
      <w:r w:rsidR="000D2118" w:rsidRPr="001826D2">
        <w:rPr>
          <w:rFonts w:eastAsia="Arial" w:cs="Arial"/>
          <w:b w:val="0"/>
          <w:bCs w:val="0"/>
          <w:color w:val="auto"/>
          <w:kern w:val="18"/>
          <w:lang w:val="en-IE"/>
        </w:rPr>
        <w:t>µg/m</w:t>
      </w:r>
      <w:r w:rsidR="000D2118" w:rsidRPr="001826D2">
        <w:rPr>
          <w:rFonts w:eastAsia="Arial" w:cs="Arial"/>
          <w:b w:val="0"/>
          <w:bCs w:val="0"/>
          <w:color w:val="auto"/>
          <w:kern w:val="18"/>
          <w:vertAlign w:val="superscript"/>
          <w:lang w:val="en-IE"/>
        </w:rPr>
        <w:t>3</w:t>
      </w:r>
      <w:r w:rsidR="000D2118" w:rsidRPr="001826D2">
        <w:rPr>
          <w:b w:val="0"/>
          <w:bCs w:val="0"/>
          <w:color w:val="auto"/>
        </w:rPr>
        <w:t xml:space="preserve">, and another three monitoring locations within 10% of the annual mean objective for </w:t>
      </w:r>
      <w:r w:rsidR="000D2118" w:rsidRPr="001826D2">
        <w:rPr>
          <w:rFonts w:eastAsia="Arial" w:cs="Arial"/>
          <w:b w:val="0"/>
          <w:bCs w:val="0"/>
          <w:color w:val="auto"/>
          <w:kern w:val="18"/>
          <w:lang w:val="en-IE"/>
        </w:rPr>
        <w:t>NO</w:t>
      </w:r>
      <w:r w:rsidR="000D2118" w:rsidRPr="001826D2">
        <w:rPr>
          <w:rFonts w:eastAsia="Arial" w:cs="Arial"/>
          <w:b w:val="0"/>
          <w:bCs w:val="0"/>
          <w:color w:val="auto"/>
          <w:kern w:val="18"/>
          <w:vertAlign w:val="subscript"/>
          <w:lang w:val="en-IE"/>
        </w:rPr>
        <w:t>2</w:t>
      </w:r>
      <w:r w:rsidR="000D2118" w:rsidRPr="001826D2">
        <w:rPr>
          <w:b w:val="0"/>
          <w:bCs w:val="0"/>
          <w:color w:val="auto"/>
        </w:rPr>
        <w:t xml:space="preserve">. Details of these sites are provided in </w:t>
      </w:r>
      <w:r w:rsidR="000D2118" w:rsidRPr="001826D2">
        <w:rPr>
          <w:b w:val="0"/>
          <w:bCs w:val="0"/>
          <w:color w:val="auto"/>
        </w:rPr>
        <w:fldChar w:fldCharType="begin"/>
      </w:r>
      <w:r w:rsidR="000D2118" w:rsidRPr="001826D2">
        <w:rPr>
          <w:b w:val="0"/>
          <w:bCs w:val="0"/>
          <w:color w:val="auto"/>
        </w:rPr>
        <w:instrText xml:space="preserve"> REF _Ref203396074 \h  \* MERGEFORMAT </w:instrText>
      </w:r>
      <w:r w:rsidR="000D2118" w:rsidRPr="001826D2">
        <w:rPr>
          <w:b w:val="0"/>
          <w:bCs w:val="0"/>
          <w:color w:val="auto"/>
        </w:rPr>
      </w:r>
      <w:r w:rsidR="000D2118" w:rsidRPr="001826D2">
        <w:rPr>
          <w:b w:val="0"/>
          <w:bCs w:val="0"/>
          <w:color w:val="auto"/>
        </w:rPr>
        <w:fldChar w:fldCharType="separate"/>
      </w:r>
      <w:r w:rsidR="000D2118" w:rsidRPr="001826D2">
        <w:rPr>
          <w:b w:val="0"/>
          <w:bCs w:val="0"/>
          <w:color w:val="auto"/>
        </w:rPr>
        <w:t xml:space="preserve">Table </w:t>
      </w:r>
      <w:r w:rsidR="000D2118" w:rsidRPr="001826D2">
        <w:rPr>
          <w:b w:val="0"/>
          <w:bCs w:val="0"/>
          <w:noProof/>
          <w:color w:val="auto"/>
        </w:rPr>
        <w:t>2</w:t>
      </w:r>
      <w:r w:rsidR="000D2118" w:rsidRPr="001826D2">
        <w:rPr>
          <w:b w:val="0"/>
          <w:bCs w:val="0"/>
          <w:color w:val="auto"/>
        </w:rPr>
        <w:t>.</w:t>
      </w:r>
      <w:r w:rsidR="000D2118" w:rsidRPr="001826D2">
        <w:rPr>
          <w:b w:val="0"/>
          <w:bCs w:val="0"/>
          <w:noProof/>
          <w:color w:val="auto"/>
        </w:rPr>
        <w:t>2</w:t>
      </w:r>
      <w:r w:rsidR="000D2118" w:rsidRPr="001826D2">
        <w:rPr>
          <w:b w:val="0"/>
          <w:bCs w:val="0"/>
          <w:color w:val="auto"/>
        </w:rPr>
        <w:fldChar w:fldCharType="end"/>
      </w:r>
      <w:r w:rsidR="000D2118" w:rsidRPr="001826D2">
        <w:rPr>
          <w:b w:val="0"/>
          <w:bCs w:val="0"/>
          <w:color w:val="auto"/>
        </w:rPr>
        <w:t xml:space="preserve"> below and they are shown in</w:t>
      </w:r>
      <w:r w:rsidR="001826D2">
        <w:rPr>
          <w:b w:val="0"/>
          <w:bCs w:val="0"/>
          <w:color w:val="auto"/>
        </w:rPr>
        <w:t xml:space="preserve"> </w:t>
      </w:r>
      <w:r w:rsidR="001826D2" w:rsidRPr="001826D2">
        <w:rPr>
          <w:b w:val="0"/>
          <w:bCs w:val="0"/>
          <w:color w:val="auto"/>
        </w:rPr>
        <w:fldChar w:fldCharType="begin"/>
      </w:r>
      <w:r w:rsidR="001826D2" w:rsidRPr="001826D2">
        <w:rPr>
          <w:b w:val="0"/>
          <w:bCs w:val="0"/>
          <w:color w:val="auto"/>
        </w:rPr>
        <w:instrText xml:space="preserve"> REF _Ref209771438 \h  \* MERGEFORMAT </w:instrText>
      </w:r>
      <w:r w:rsidR="001826D2" w:rsidRPr="001826D2">
        <w:rPr>
          <w:b w:val="0"/>
          <w:bCs w:val="0"/>
          <w:color w:val="auto"/>
        </w:rPr>
      </w:r>
      <w:r w:rsidR="001826D2" w:rsidRPr="001826D2">
        <w:rPr>
          <w:b w:val="0"/>
          <w:bCs w:val="0"/>
          <w:color w:val="auto"/>
        </w:rPr>
        <w:fldChar w:fldCharType="separate"/>
      </w:r>
      <w:r w:rsidR="001826D2" w:rsidRPr="001826D2">
        <w:rPr>
          <w:b w:val="0"/>
          <w:bCs w:val="0"/>
          <w:color w:val="auto"/>
        </w:rPr>
        <w:t xml:space="preserve">Figure </w:t>
      </w:r>
      <w:r w:rsidR="001826D2" w:rsidRPr="001826D2">
        <w:rPr>
          <w:b w:val="0"/>
          <w:bCs w:val="0"/>
          <w:noProof/>
          <w:color w:val="auto"/>
        </w:rPr>
        <w:t>2</w:t>
      </w:r>
      <w:r w:rsidR="001826D2" w:rsidRPr="001826D2">
        <w:rPr>
          <w:b w:val="0"/>
          <w:bCs w:val="0"/>
          <w:color w:val="auto"/>
        </w:rPr>
        <w:t>.</w:t>
      </w:r>
      <w:r w:rsidR="001826D2" w:rsidRPr="001826D2">
        <w:rPr>
          <w:b w:val="0"/>
          <w:bCs w:val="0"/>
          <w:noProof/>
          <w:color w:val="auto"/>
        </w:rPr>
        <w:t>2</w:t>
      </w:r>
      <w:r w:rsidR="001826D2" w:rsidRPr="001826D2">
        <w:rPr>
          <w:b w:val="0"/>
          <w:bCs w:val="0"/>
          <w:color w:val="auto"/>
        </w:rPr>
        <w:fldChar w:fldCharType="end"/>
      </w:r>
      <w:r w:rsidR="001826D2" w:rsidRPr="001826D2">
        <w:rPr>
          <w:b w:val="0"/>
          <w:bCs w:val="0"/>
          <w:color w:val="auto"/>
        </w:rPr>
        <w:t>.</w:t>
      </w:r>
    </w:p>
    <w:p w14:paraId="5493248F" w14:textId="2B976E01" w:rsidR="009F7319" w:rsidRPr="00A85C14" w:rsidRDefault="000D2118" w:rsidP="0005447E">
      <w:pPr>
        <w:rPr>
          <w:b/>
          <w:bCs/>
          <w:color w:val="006726"/>
        </w:rPr>
      </w:pPr>
      <w:bookmarkStart w:id="21" w:name="_Ref203396074"/>
      <w:bookmarkStart w:id="22" w:name="_Toc222131896"/>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3C0A69">
        <w:rPr>
          <w:b/>
          <w:bCs/>
          <w:noProof/>
          <w:color w:val="006726"/>
        </w:rPr>
        <w:t>2</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3C0A69">
        <w:rPr>
          <w:b/>
          <w:bCs/>
          <w:noProof/>
          <w:color w:val="006726"/>
        </w:rPr>
        <w:t>2</w:t>
      </w:r>
      <w:r w:rsidRPr="00A85C14">
        <w:rPr>
          <w:b/>
          <w:bCs/>
          <w:color w:val="006726"/>
        </w:rPr>
        <w:fldChar w:fldCharType="end"/>
      </w:r>
      <w:bookmarkEnd w:id="21"/>
      <w:r w:rsidRPr="00A85C14">
        <w:rPr>
          <w:b/>
          <w:bCs/>
          <w:color w:val="006726"/>
        </w:rPr>
        <w:t xml:space="preserve"> – </w:t>
      </w:r>
      <w:r w:rsidR="00A57BA6" w:rsidRPr="00A85C14">
        <w:rPr>
          <w:b/>
          <w:bCs/>
          <w:color w:val="006726"/>
        </w:rPr>
        <w:t>Monitoring Locations</w:t>
      </w:r>
      <w:r w:rsidR="00A57BA6">
        <w:rPr>
          <w:b/>
          <w:bCs/>
          <w:color w:val="006726"/>
        </w:rPr>
        <w:t xml:space="preserve"> that </w:t>
      </w:r>
      <w:r w:rsidR="00A57BA6" w:rsidRPr="00A85C14">
        <w:rPr>
          <w:b/>
          <w:bCs/>
          <w:color w:val="006726"/>
        </w:rPr>
        <w:t>Exceed</w:t>
      </w:r>
      <w:r w:rsidR="00A57BA6">
        <w:rPr>
          <w:b/>
          <w:bCs/>
          <w:color w:val="006726"/>
        </w:rPr>
        <w:t>ed</w:t>
      </w:r>
      <w:r w:rsidR="00A57BA6" w:rsidRPr="00A85C14">
        <w:rPr>
          <w:b/>
          <w:bCs/>
          <w:color w:val="006726"/>
        </w:rPr>
        <w:t xml:space="preserve"> </w:t>
      </w:r>
      <w:r w:rsidR="00403F96" w:rsidRPr="00A85C14">
        <w:rPr>
          <w:b/>
          <w:bCs/>
          <w:color w:val="006726"/>
        </w:rPr>
        <w:t xml:space="preserve">the Air Quality Objective </w:t>
      </w:r>
      <w:r w:rsidR="00A57BA6">
        <w:rPr>
          <w:b/>
          <w:bCs/>
          <w:color w:val="006726"/>
        </w:rPr>
        <w:t>(or were</w:t>
      </w:r>
      <w:r w:rsidR="00A57BA6" w:rsidRPr="00A85C14">
        <w:rPr>
          <w:b/>
          <w:bCs/>
          <w:color w:val="006726"/>
        </w:rPr>
        <w:t xml:space="preserve"> within 10% of</w:t>
      </w:r>
      <w:r w:rsidR="00A57BA6">
        <w:rPr>
          <w:b/>
          <w:bCs/>
          <w:color w:val="006726"/>
        </w:rPr>
        <w:t xml:space="preserve"> exceeding) in 2024</w:t>
      </w:r>
      <w:bookmarkEnd w:id="22"/>
    </w:p>
    <w:tbl>
      <w:tblPr>
        <w:tblStyle w:val="TableStyle4"/>
        <w:tblW w:w="0" w:type="auto"/>
        <w:tblLook w:val="04A0" w:firstRow="1" w:lastRow="0" w:firstColumn="1" w:lastColumn="0" w:noHBand="0" w:noVBand="1"/>
        <w:tblCaption w:val="Declared Air Quality Management Areas"/>
        <w:tblDescription w:val="The table shows the current AQMAs that are designated within the council."/>
      </w:tblPr>
      <w:tblGrid>
        <w:gridCol w:w="1677"/>
        <w:gridCol w:w="1044"/>
        <w:gridCol w:w="984"/>
        <w:gridCol w:w="1223"/>
        <w:gridCol w:w="1264"/>
        <w:gridCol w:w="717"/>
        <w:gridCol w:w="717"/>
        <w:gridCol w:w="717"/>
        <w:gridCol w:w="717"/>
      </w:tblGrid>
      <w:tr w:rsidR="008F5866" w:rsidRPr="002A53BD" w14:paraId="3BD2AB04" w14:textId="77777777" w:rsidTr="00D0477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6600"/>
          </w:tcPr>
          <w:p w14:paraId="3F76879A" w14:textId="77777777" w:rsidR="000D2118" w:rsidRPr="002A53BD" w:rsidRDefault="000D2118" w:rsidP="00574BF5">
            <w:pPr>
              <w:spacing w:before="0" w:after="0" w:line="240" w:lineRule="auto"/>
              <w:rPr>
                <w:b w:val="0"/>
                <w:color w:val="FFFFFF" w:themeColor="background1"/>
              </w:rPr>
            </w:pPr>
            <w:r w:rsidRPr="002A53BD">
              <w:rPr>
                <w:color w:val="FFFFFF" w:themeColor="background1"/>
              </w:rPr>
              <w:t>Location</w:t>
            </w:r>
          </w:p>
        </w:tc>
        <w:tc>
          <w:tcPr>
            <w:tcW w:w="0" w:type="auto"/>
            <w:vMerge w:val="restart"/>
            <w:shd w:val="clear" w:color="auto" w:fill="006600"/>
          </w:tcPr>
          <w:p w14:paraId="413CF2F1" w14:textId="77777777" w:rsidR="000D2118" w:rsidRPr="002A53BD" w:rsidRDefault="000D2118" w:rsidP="00574BF5">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ID</w:t>
            </w:r>
          </w:p>
        </w:tc>
        <w:tc>
          <w:tcPr>
            <w:tcW w:w="0" w:type="auto"/>
            <w:vMerge w:val="restart"/>
            <w:shd w:val="clear" w:color="auto" w:fill="006600"/>
          </w:tcPr>
          <w:p w14:paraId="5A40D2C7" w14:textId="77777777" w:rsidR="000D2118" w:rsidRPr="002A53BD" w:rsidRDefault="000D2118" w:rsidP="00574BF5">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X</w:t>
            </w:r>
          </w:p>
        </w:tc>
        <w:tc>
          <w:tcPr>
            <w:tcW w:w="1144" w:type="dxa"/>
            <w:vMerge w:val="restart"/>
            <w:shd w:val="clear" w:color="auto" w:fill="006600"/>
          </w:tcPr>
          <w:p w14:paraId="03E30439" w14:textId="77777777" w:rsidR="000D2118" w:rsidRPr="002A53BD" w:rsidRDefault="000D2118" w:rsidP="00574BF5">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Y</w:t>
            </w:r>
          </w:p>
        </w:tc>
        <w:tc>
          <w:tcPr>
            <w:tcW w:w="4074" w:type="dxa"/>
            <w:gridSpan w:val="5"/>
            <w:shd w:val="clear" w:color="auto" w:fill="006600"/>
          </w:tcPr>
          <w:p w14:paraId="3725AFB6" w14:textId="77777777" w:rsidR="000D2118" w:rsidRPr="00FB0919" w:rsidRDefault="000D2118" w:rsidP="00574BF5">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FB0919">
              <w:rPr>
                <w:bCs/>
                <w:color w:val="FFFFFF" w:themeColor="background1"/>
              </w:rPr>
              <w:t>Annual mean NO</w:t>
            </w:r>
            <w:r w:rsidRPr="00FB0919">
              <w:rPr>
                <w:bCs/>
                <w:color w:val="FFFFFF" w:themeColor="background1"/>
                <w:vertAlign w:val="subscript"/>
              </w:rPr>
              <w:t>2</w:t>
            </w:r>
            <w:r w:rsidRPr="00FB0919">
              <w:rPr>
                <w:bCs/>
                <w:color w:val="FFFFFF" w:themeColor="background1"/>
              </w:rPr>
              <w:t xml:space="preserve"> concentration (</w:t>
            </w:r>
            <w:r w:rsidRPr="00FB0919">
              <w:rPr>
                <w:bCs/>
              </w:rPr>
              <w:t>µg/m</w:t>
            </w:r>
            <w:r w:rsidRPr="00FB0919">
              <w:rPr>
                <w:bCs/>
                <w:vertAlign w:val="superscript"/>
              </w:rPr>
              <w:t>3</w:t>
            </w:r>
            <w:r w:rsidRPr="00FB0919">
              <w:rPr>
                <w:bCs/>
              </w:rPr>
              <w:t>)</w:t>
            </w:r>
          </w:p>
        </w:tc>
      </w:tr>
      <w:tr w:rsidR="00465C9D" w:rsidRPr="002A53BD" w14:paraId="4286CC40" w14:textId="77777777" w:rsidTr="00465C9D">
        <w:trPr>
          <w:trHeight w:val="3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6600"/>
          </w:tcPr>
          <w:p w14:paraId="1BF78063" w14:textId="77777777" w:rsidR="000D2118" w:rsidRPr="002A53BD" w:rsidRDefault="000D2118" w:rsidP="00574BF5">
            <w:pPr>
              <w:spacing w:before="0" w:after="0" w:line="240" w:lineRule="auto"/>
              <w:rPr>
                <w:rFonts w:eastAsia="Times New Roman" w:cs="Arial"/>
                <w:bCs/>
                <w:color w:val="FFFFFF" w:themeColor="background1"/>
                <w:lang w:val="en-US" w:eastAsia="zh-CN"/>
              </w:rPr>
            </w:pPr>
          </w:p>
        </w:tc>
        <w:tc>
          <w:tcPr>
            <w:tcW w:w="0" w:type="auto"/>
            <w:vMerge/>
            <w:shd w:val="clear" w:color="auto" w:fill="006600"/>
          </w:tcPr>
          <w:p w14:paraId="010517D5" w14:textId="77777777"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0" w:type="auto"/>
            <w:vMerge/>
            <w:shd w:val="clear" w:color="auto" w:fill="006600"/>
          </w:tcPr>
          <w:p w14:paraId="3B6FECE5" w14:textId="77777777"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144" w:type="dxa"/>
            <w:vMerge/>
            <w:shd w:val="clear" w:color="auto" w:fill="006600"/>
          </w:tcPr>
          <w:p w14:paraId="4FDFCE9B" w14:textId="77777777"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166" w:type="dxa"/>
            <w:shd w:val="clear" w:color="auto" w:fill="006600"/>
          </w:tcPr>
          <w:p w14:paraId="5805E534" w14:textId="4F2E81EA" w:rsidR="000D2118" w:rsidRPr="002A53BD" w:rsidRDefault="000D2118" w:rsidP="00574BF5">
            <w:pPr>
              <w:spacing w:line="240" w:lineRule="auto"/>
              <w:cnfStyle w:val="000000000000" w:firstRow="0" w:lastRow="0" w:firstColumn="0" w:lastColumn="0" w:oddVBand="0" w:evenVBand="0" w:oddHBand="0" w:evenHBand="0" w:firstRowFirstColumn="0" w:firstRowLastColumn="0" w:lastRowFirstColumn="0" w:lastRowLastColumn="0"/>
              <w:rPr>
                <w:color w:val="FFFFFF" w:themeColor="background1"/>
              </w:rPr>
            </w:pPr>
            <w:r w:rsidRPr="002A53BD">
              <w:rPr>
                <w:b/>
                <w:color w:val="FFFFFF" w:themeColor="background1"/>
              </w:rPr>
              <w:t>20</w:t>
            </w:r>
            <w:r>
              <w:rPr>
                <w:b/>
                <w:color w:val="FFFFFF" w:themeColor="background1"/>
              </w:rPr>
              <w:t>20</w:t>
            </w:r>
          </w:p>
        </w:tc>
        <w:tc>
          <w:tcPr>
            <w:tcW w:w="0" w:type="auto"/>
            <w:shd w:val="clear" w:color="auto" w:fill="006600"/>
          </w:tcPr>
          <w:p w14:paraId="7536CE02" w14:textId="56E0EF36"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1</w:t>
            </w:r>
          </w:p>
        </w:tc>
        <w:tc>
          <w:tcPr>
            <w:tcW w:w="0" w:type="auto"/>
            <w:shd w:val="clear" w:color="auto" w:fill="006600"/>
          </w:tcPr>
          <w:p w14:paraId="528A25ED" w14:textId="27B67559"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2</w:t>
            </w:r>
          </w:p>
        </w:tc>
        <w:tc>
          <w:tcPr>
            <w:tcW w:w="0" w:type="auto"/>
            <w:shd w:val="clear" w:color="auto" w:fill="006600"/>
          </w:tcPr>
          <w:p w14:paraId="18DDD10A" w14:textId="5970EF5C"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3</w:t>
            </w:r>
          </w:p>
        </w:tc>
        <w:tc>
          <w:tcPr>
            <w:tcW w:w="0" w:type="auto"/>
            <w:shd w:val="clear" w:color="auto" w:fill="006600"/>
          </w:tcPr>
          <w:p w14:paraId="10A91B3E" w14:textId="5244536D" w:rsidR="000D2118" w:rsidRPr="002A53BD" w:rsidRDefault="000D2118" w:rsidP="00574B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4</w:t>
            </w:r>
          </w:p>
        </w:tc>
      </w:tr>
      <w:tr w:rsidR="00553DC9" w:rsidRPr="002A53BD" w14:paraId="4DD4F5B8" w14:textId="77777777" w:rsidTr="00D04771">
        <w:trPr>
          <w:trHeight w:val="880"/>
        </w:trPr>
        <w:tc>
          <w:tcPr>
            <w:cnfStyle w:val="001000000000" w:firstRow="0" w:lastRow="0" w:firstColumn="1" w:lastColumn="0" w:oddVBand="0" w:evenVBand="0" w:oddHBand="0" w:evenHBand="0" w:firstRowFirstColumn="0" w:firstRowLastColumn="0" w:lastRowFirstColumn="0" w:lastRowLastColumn="0"/>
            <w:tcW w:w="0" w:type="auto"/>
          </w:tcPr>
          <w:p w14:paraId="48568BF7" w14:textId="61C26A80" w:rsidR="00553DC9" w:rsidRPr="00553DC9" w:rsidRDefault="00553DC9" w:rsidP="00553DC9">
            <w:pPr>
              <w:spacing w:before="0" w:after="0" w:line="240" w:lineRule="auto"/>
              <w:rPr>
                <w:rFonts w:eastAsia="Times New Roman" w:cs="Arial"/>
                <w:lang w:val="en-US" w:eastAsia="zh-CN"/>
              </w:rPr>
            </w:pPr>
            <w:r w:rsidRPr="00553DC9">
              <w:rPr>
                <w:rFonts w:eastAsia="Times New Roman" w:cs="Arial"/>
                <w:lang w:val="en-US" w:eastAsia="zh-CN"/>
              </w:rPr>
              <w:t>10 Market Street</w:t>
            </w:r>
          </w:p>
        </w:tc>
        <w:tc>
          <w:tcPr>
            <w:tcW w:w="0" w:type="auto"/>
          </w:tcPr>
          <w:p w14:paraId="3B445EF8" w14:textId="2EA83372"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eastAsia="zh-CN"/>
              </w:rPr>
            </w:pPr>
            <w:r w:rsidRPr="00553DC9">
              <w:rPr>
                <w:rFonts w:eastAsia="Times New Roman" w:cs="Arial"/>
                <w:lang w:val="en-US" w:eastAsia="zh-CN"/>
              </w:rPr>
              <w:t>DT8</w:t>
            </w:r>
          </w:p>
        </w:tc>
        <w:tc>
          <w:tcPr>
            <w:tcW w:w="0" w:type="auto"/>
          </w:tcPr>
          <w:p w14:paraId="48FC1A92" w14:textId="3D8CF1D1"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eastAsia="zh-CN"/>
              </w:rPr>
            </w:pPr>
            <w:r w:rsidRPr="00553DC9">
              <w:t>424936</w:t>
            </w:r>
          </w:p>
        </w:tc>
        <w:tc>
          <w:tcPr>
            <w:tcW w:w="1144" w:type="dxa"/>
          </w:tcPr>
          <w:p w14:paraId="0A944203" w14:textId="6325A4E8"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eastAsia="zh-CN"/>
              </w:rPr>
            </w:pPr>
            <w:r w:rsidRPr="00553DC9">
              <w:t>564333</w:t>
            </w:r>
          </w:p>
        </w:tc>
        <w:tc>
          <w:tcPr>
            <w:tcW w:w="1166" w:type="dxa"/>
          </w:tcPr>
          <w:p w14:paraId="74B520F0" w14:textId="0B5E88B0" w:rsidR="00553DC9" w:rsidRPr="00553DC9" w:rsidRDefault="00553DC9" w:rsidP="00553DC9">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s="Arial"/>
                <w:lang w:val="en-US" w:eastAsia="zh-CN"/>
              </w:rPr>
            </w:pPr>
            <w:r w:rsidRPr="00553DC9">
              <w:rPr>
                <w:rFonts w:cs="Arial"/>
                <w:color w:val="000000"/>
              </w:rPr>
              <w:t>29.8</w:t>
            </w:r>
          </w:p>
        </w:tc>
        <w:tc>
          <w:tcPr>
            <w:tcW w:w="0" w:type="auto"/>
          </w:tcPr>
          <w:p w14:paraId="63BD8BB3" w14:textId="44AE884D"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39.9</w:t>
            </w:r>
          </w:p>
        </w:tc>
        <w:tc>
          <w:tcPr>
            <w:tcW w:w="0" w:type="auto"/>
          </w:tcPr>
          <w:p w14:paraId="79A53D3F" w14:textId="76AFCCEF"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b/>
                <w:bCs/>
                <w:color w:val="000000"/>
              </w:rPr>
              <w:t>44.7</w:t>
            </w:r>
          </w:p>
        </w:tc>
        <w:tc>
          <w:tcPr>
            <w:tcW w:w="0" w:type="auto"/>
          </w:tcPr>
          <w:p w14:paraId="532B9751" w14:textId="5155DA4B"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b/>
                <w:bCs/>
                <w:color w:val="000000"/>
              </w:rPr>
              <w:t>42.2</w:t>
            </w:r>
          </w:p>
        </w:tc>
        <w:tc>
          <w:tcPr>
            <w:tcW w:w="0" w:type="auto"/>
          </w:tcPr>
          <w:p w14:paraId="4A58DAF6" w14:textId="16B182A2"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38.5</w:t>
            </w:r>
          </w:p>
        </w:tc>
      </w:tr>
      <w:tr w:rsidR="00553DC9" w:rsidRPr="002A53BD" w14:paraId="3D949A5D" w14:textId="77777777" w:rsidTr="00D04771">
        <w:trPr>
          <w:trHeight w:val="566"/>
        </w:trPr>
        <w:tc>
          <w:tcPr>
            <w:cnfStyle w:val="001000000000" w:firstRow="0" w:lastRow="0" w:firstColumn="1" w:lastColumn="0" w:oddVBand="0" w:evenVBand="0" w:oddHBand="0" w:evenHBand="0" w:firstRowFirstColumn="0" w:firstRowLastColumn="0" w:lastRowFirstColumn="0" w:lastRowLastColumn="0"/>
            <w:tcW w:w="0" w:type="auto"/>
          </w:tcPr>
          <w:p w14:paraId="7DE37253" w14:textId="1C5BD99F" w:rsidR="00553DC9" w:rsidRPr="00553DC9" w:rsidRDefault="00553DC9" w:rsidP="00553DC9">
            <w:pPr>
              <w:spacing w:before="0" w:after="0" w:line="240" w:lineRule="auto"/>
              <w:rPr>
                <w:rFonts w:cs="Arial"/>
                <w:lang w:val="en-US" w:eastAsia="zh-CN"/>
              </w:rPr>
            </w:pPr>
            <w:r w:rsidRPr="00553DC9">
              <w:rPr>
                <w:rFonts w:cs="Arial"/>
                <w:lang w:val="en-US" w:eastAsia="zh-CN"/>
              </w:rPr>
              <w:t>John Dobson Street</w:t>
            </w:r>
          </w:p>
        </w:tc>
        <w:tc>
          <w:tcPr>
            <w:tcW w:w="0" w:type="auto"/>
          </w:tcPr>
          <w:p w14:paraId="19A5DC3B" w14:textId="400C4173"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DT102</w:t>
            </w:r>
          </w:p>
        </w:tc>
        <w:tc>
          <w:tcPr>
            <w:tcW w:w="0" w:type="auto"/>
          </w:tcPr>
          <w:p w14:paraId="0AFE8380" w14:textId="64B68AF1"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t>425106</w:t>
            </w:r>
          </w:p>
        </w:tc>
        <w:tc>
          <w:tcPr>
            <w:tcW w:w="1144" w:type="dxa"/>
          </w:tcPr>
          <w:p w14:paraId="61078497" w14:textId="49FD3556"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t>564466</w:t>
            </w:r>
          </w:p>
        </w:tc>
        <w:tc>
          <w:tcPr>
            <w:tcW w:w="1166" w:type="dxa"/>
          </w:tcPr>
          <w:p w14:paraId="78766C72" w14:textId="58E50B78" w:rsidR="00553DC9" w:rsidRPr="00553DC9" w:rsidRDefault="00553DC9" w:rsidP="00553DC9">
            <w:pPr>
              <w:spacing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23.4</w:t>
            </w:r>
          </w:p>
        </w:tc>
        <w:tc>
          <w:tcPr>
            <w:tcW w:w="0" w:type="auto"/>
          </w:tcPr>
          <w:p w14:paraId="722B3837" w14:textId="65F5ED4F"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32.5</w:t>
            </w:r>
          </w:p>
        </w:tc>
        <w:tc>
          <w:tcPr>
            <w:tcW w:w="0" w:type="auto"/>
          </w:tcPr>
          <w:p w14:paraId="7F1877E9" w14:textId="269DCD10"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b/>
                <w:bCs/>
                <w:color w:val="000000"/>
              </w:rPr>
              <w:t>45.1</w:t>
            </w:r>
          </w:p>
        </w:tc>
        <w:tc>
          <w:tcPr>
            <w:tcW w:w="0" w:type="auto"/>
          </w:tcPr>
          <w:p w14:paraId="68BD0F11" w14:textId="0ED09EBB"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33.1</w:t>
            </w:r>
          </w:p>
        </w:tc>
        <w:tc>
          <w:tcPr>
            <w:tcW w:w="0" w:type="auto"/>
          </w:tcPr>
          <w:p w14:paraId="37F7EEE5" w14:textId="1908939A"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36.4</w:t>
            </w:r>
          </w:p>
        </w:tc>
      </w:tr>
      <w:tr w:rsidR="00553DC9" w:rsidRPr="002A53BD" w14:paraId="675FBD4F" w14:textId="77777777" w:rsidTr="00D04771">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08F2AD17" w14:textId="0CC93E05" w:rsidR="00553DC9" w:rsidRPr="00553DC9" w:rsidRDefault="00553DC9" w:rsidP="00553DC9">
            <w:pPr>
              <w:spacing w:before="0" w:after="0" w:line="240" w:lineRule="auto"/>
              <w:rPr>
                <w:rFonts w:cs="Arial"/>
                <w:lang w:val="en-US" w:eastAsia="zh-CN"/>
              </w:rPr>
            </w:pPr>
            <w:r w:rsidRPr="00553DC9">
              <w:rPr>
                <w:rFonts w:cs="Arial"/>
                <w:lang w:val="en-US" w:eastAsia="zh-CN"/>
              </w:rPr>
              <w:t>St Mary’s Place</w:t>
            </w:r>
          </w:p>
        </w:tc>
        <w:tc>
          <w:tcPr>
            <w:tcW w:w="0" w:type="auto"/>
          </w:tcPr>
          <w:p w14:paraId="60E713E2" w14:textId="5E20BF8B"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DT5, DT115, DT116</w:t>
            </w:r>
          </w:p>
        </w:tc>
        <w:tc>
          <w:tcPr>
            <w:tcW w:w="0" w:type="auto"/>
          </w:tcPr>
          <w:p w14:paraId="1BF2BEB6" w14:textId="15D55092"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t>424948</w:t>
            </w:r>
          </w:p>
        </w:tc>
        <w:tc>
          <w:tcPr>
            <w:tcW w:w="1144" w:type="dxa"/>
          </w:tcPr>
          <w:p w14:paraId="4A8B1E63" w14:textId="3380A424"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t>564872</w:t>
            </w:r>
          </w:p>
        </w:tc>
        <w:tc>
          <w:tcPr>
            <w:tcW w:w="1166" w:type="dxa"/>
          </w:tcPr>
          <w:p w14:paraId="5619A6BD" w14:textId="4B98F4AA" w:rsidR="00553DC9" w:rsidRPr="00553DC9" w:rsidRDefault="00553DC9" w:rsidP="00553DC9">
            <w:pPr>
              <w:spacing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color w:val="000000"/>
                <w:szCs w:val="28"/>
              </w:rPr>
              <w:t>37.5</w:t>
            </w:r>
          </w:p>
        </w:tc>
        <w:tc>
          <w:tcPr>
            <w:tcW w:w="0" w:type="auto"/>
          </w:tcPr>
          <w:p w14:paraId="311E7448" w14:textId="45EF0B74"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rPr>
              <w:t>44.2</w:t>
            </w:r>
          </w:p>
        </w:tc>
        <w:tc>
          <w:tcPr>
            <w:tcW w:w="0" w:type="auto"/>
          </w:tcPr>
          <w:p w14:paraId="785FBCE7" w14:textId="7E9737FB"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rPr>
              <w:t>46.3</w:t>
            </w:r>
          </w:p>
        </w:tc>
        <w:tc>
          <w:tcPr>
            <w:tcW w:w="0" w:type="auto"/>
          </w:tcPr>
          <w:p w14:paraId="0BDEE674" w14:textId="0A4B8608"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rPr>
              <w:t>40.3</w:t>
            </w:r>
          </w:p>
        </w:tc>
        <w:tc>
          <w:tcPr>
            <w:tcW w:w="0" w:type="auto"/>
          </w:tcPr>
          <w:p w14:paraId="013B9F6D" w14:textId="4C7FC248"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36.3</w:t>
            </w:r>
          </w:p>
        </w:tc>
      </w:tr>
      <w:tr w:rsidR="00553DC9" w:rsidRPr="002A53BD" w14:paraId="3DB93D62" w14:textId="77777777" w:rsidTr="00D04771">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6642417A" w14:textId="50625689" w:rsidR="00553DC9" w:rsidRPr="00553DC9" w:rsidRDefault="00553DC9" w:rsidP="00553DC9">
            <w:pPr>
              <w:spacing w:before="0" w:after="0" w:line="240" w:lineRule="auto"/>
              <w:rPr>
                <w:rFonts w:cs="Arial"/>
                <w:lang w:val="en-US" w:eastAsia="zh-CN"/>
              </w:rPr>
            </w:pPr>
            <w:r w:rsidRPr="00553DC9">
              <w:rPr>
                <w:rFonts w:cs="Arial"/>
                <w:lang w:val="en-US" w:eastAsia="zh-CN"/>
              </w:rPr>
              <w:t>Stephenson Road, entrance to Jesmond Pk West</w:t>
            </w:r>
          </w:p>
        </w:tc>
        <w:tc>
          <w:tcPr>
            <w:tcW w:w="0" w:type="auto"/>
          </w:tcPr>
          <w:p w14:paraId="16D6C036" w14:textId="29FF6AB9"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DT81</w:t>
            </w:r>
          </w:p>
        </w:tc>
        <w:tc>
          <w:tcPr>
            <w:tcW w:w="0" w:type="auto"/>
          </w:tcPr>
          <w:p w14:paraId="479897C1" w14:textId="62D7D3DB"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426546</w:t>
            </w:r>
          </w:p>
        </w:tc>
        <w:tc>
          <w:tcPr>
            <w:tcW w:w="1144" w:type="dxa"/>
          </w:tcPr>
          <w:p w14:paraId="4402B389" w14:textId="0CE750E7"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566260</w:t>
            </w:r>
          </w:p>
        </w:tc>
        <w:tc>
          <w:tcPr>
            <w:tcW w:w="1166" w:type="dxa"/>
          </w:tcPr>
          <w:p w14:paraId="36AE623E" w14:textId="39B73928" w:rsidR="00553DC9" w:rsidRPr="00553DC9" w:rsidRDefault="00553DC9" w:rsidP="00553DC9">
            <w:pPr>
              <w:spacing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rPr>
              <w:t>56.8</w:t>
            </w:r>
          </w:p>
        </w:tc>
        <w:tc>
          <w:tcPr>
            <w:tcW w:w="0" w:type="auto"/>
          </w:tcPr>
          <w:p w14:paraId="5AFBA556" w14:textId="45187804"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u w:val="single"/>
              </w:rPr>
              <w:t>97.7</w:t>
            </w:r>
          </w:p>
        </w:tc>
        <w:tc>
          <w:tcPr>
            <w:tcW w:w="0" w:type="auto"/>
          </w:tcPr>
          <w:p w14:paraId="0302B2A8" w14:textId="56C10C0A"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u w:val="single"/>
              </w:rPr>
              <w:t>92.2</w:t>
            </w:r>
          </w:p>
        </w:tc>
        <w:tc>
          <w:tcPr>
            <w:tcW w:w="0" w:type="auto"/>
          </w:tcPr>
          <w:p w14:paraId="198C856A" w14:textId="46F7CCA0"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u w:val="single"/>
              </w:rPr>
              <w:t>67.1</w:t>
            </w:r>
          </w:p>
        </w:tc>
        <w:tc>
          <w:tcPr>
            <w:tcW w:w="0" w:type="auto"/>
          </w:tcPr>
          <w:p w14:paraId="3EE6F7B2" w14:textId="37B56FAC" w:rsidR="00553DC9" w:rsidRPr="00553DC9" w:rsidRDefault="00553DC9"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u w:val="single"/>
                <w:lang w:val="en-US" w:eastAsia="zh-CN"/>
              </w:rPr>
            </w:pPr>
            <w:r w:rsidRPr="00553DC9">
              <w:rPr>
                <w:rFonts w:cs="Arial"/>
                <w:b/>
                <w:bCs/>
                <w:u w:val="single"/>
                <w:lang w:val="en-US" w:eastAsia="zh-CN"/>
              </w:rPr>
              <w:t>64.5</w:t>
            </w:r>
          </w:p>
        </w:tc>
      </w:tr>
      <w:tr w:rsidR="00465C9D" w:rsidRPr="002A53BD" w14:paraId="52AA106F" w14:textId="77777777" w:rsidTr="00465C9D">
        <w:trPr>
          <w:trHeight w:val="12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83119D7" w14:textId="750047E9" w:rsidR="00465C9D" w:rsidRPr="00553DC9" w:rsidRDefault="00465C9D" w:rsidP="00553DC9">
            <w:pPr>
              <w:spacing w:before="0" w:after="0" w:line="240" w:lineRule="auto"/>
              <w:rPr>
                <w:rFonts w:cs="Arial"/>
                <w:lang w:val="en-US" w:eastAsia="zh-CN"/>
              </w:rPr>
            </w:pPr>
            <w:r w:rsidRPr="00553DC9">
              <w:rPr>
                <w:rFonts w:cs="Arial"/>
                <w:lang w:val="en-US" w:eastAsia="zh-CN"/>
              </w:rPr>
              <w:t>Percy Street</w:t>
            </w:r>
          </w:p>
        </w:tc>
        <w:tc>
          <w:tcPr>
            <w:tcW w:w="0" w:type="auto"/>
          </w:tcPr>
          <w:p w14:paraId="3EB9419F" w14:textId="58F8DB98"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Percy Street CMS</w:t>
            </w:r>
          </w:p>
        </w:tc>
        <w:tc>
          <w:tcPr>
            <w:tcW w:w="0" w:type="auto"/>
            <w:vMerge w:val="restart"/>
          </w:tcPr>
          <w:p w14:paraId="6417358B" w14:textId="601B6F67"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424776</w:t>
            </w:r>
          </w:p>
        </w:tc>
        <w:tc>
          <w:tcPr>
            <w:tcW w:w="1144" w:type="dxa"/>
            <w:vMerge w:val="restart"/>
          </w:tcPr>
          <w:p w14:paraId="696E0BF5" w14:textId="178DBAC1"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 xml:space="preserve">564861 </w:t>
            </w:r>
          </w:p>
        </w:tc>
        <w:tc>
          <w:tcPr>
            <w:tcW w:w="1166" w:type="dxa"/>
          </w:tcPr>
          <w:p w14:paraId="3DCD9683" w14:textId="1F710857" w:rsidR="00465C9D" w:rsidRPr="00553DC9" w:rsidRDefault="00465C9D" w:rsidP="00553DC9">
            <w:pPr>
              <w:spacing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eastAsia="Times New Roman" w:cs="Arial"/>
                <w:lang w:eastAsia="en-GB"/>
              </w:rPr>
              <w:t>39</w:t>
            </w:r>
            <w:r>
              <w:rPr>
                <w:rFonts w:eastAsia="Times New Roman" w:cs="Arial"/>
                <w:lang w:eastAsia="en-GB"/>
              </w:rPr>
              <w:t>.0</w:t>
            </w:r>
          </w:p>
        </w:tc>
        <w:tc>
          <w:tcPr>
            <w:tcW w:w="0" w:type="auto"/>
          </w:tcPr>
          <w:p w14:paraId="1313F7A2" w14:textId="61219CA9"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eastAsia="Times New Roman" w:cs="Arial"/>
                <w:b/>
                <w:bCs/>
                <w:lang w:eastAsia="en-GB"/>
              </w:rPr>
              <w:t>42</w:t>
            </w:r>
            <w:r>
              <w:rPr>
                <w:rFonts w:eastAsia="Times New Roman" w:cs="Arial"/>
                <w:b/>
                <w:bCs/>
                <w:lang w:eastAsia="en-GB"/>
              </w:rPr>
              <w:t>.0</w:t>
            </w:r>
          </w:p>
        </w:tc>
        <w:tc>
          <w:tcPr>
            <w:tcW w:w="0" w:type="auto"/>
          </w:tcPr>
          <w:p w14:paraId="000FC5BE" w14:textId="1C090F43"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eastAsia="Times New Roman" w:cs="Arial"/>
                <w:b/>
                <w:bCs/>
                <w:lang w:eastAsia="en-GB"/>
              </w:rPr>
              <w:t>43</w:t>
            </w:r>
            <w:r>
              <w:rPr>
                <w:rFonts w:eastAsia="Times New Roman" w:cs="Arial"/>
                <w:b/>
                <w:bCs/>
                <w:lang w:eastAsia="en-GB"/>
              </w:rPr>
              <w:t>.0</w:t>
            </w:r>
          </w:p>
        </w:tc>
        <w:tc>
          <w:tcPr>
            <w:tcW w:w="0" w:type="auto"/>
          </w:tcPr>
          <w:p w14:paraId="7821ACDD" w14:textId="42C0E181"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eastAsia="Times New Roman" w:cs="Arial"/>
                <w:b/>
                <w:bCs/>
                <w:lang w:eastAsia="en-GB"/>
              </w:rPr>
              <w:t>42.4</w:t>
            </w:r>
          </w:p>
        </w:tc>
        <w:tc>
          <w:tcPr>
            <w:tcW w:w="0" w:type="auto"/>
          </w:tcPr>
          <w:p w14:paraId="3EF185E2" w14:textId="70F4FD17" w:rsidR="00465C9D" w:rsidRPr="00553DC9" w:rsidRDefault="00465C9D" w:rsidP="00553DC9">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val="en-US" w:eastAsia="zh-CN"/>
              </w:rPr>
            </w:pPr>
            <w:r w:rsidRPr="00553DC9">
              <w:rPr>
                <w:rFonts w:cs="Arial"/>
                <w:b/>
                <w:bCs/>
                <w:lang w:val="en-US" w:eastAsia="zh-CN"/>
              </w:rPr>
              <w:t>41.1</w:t>
            </w:r>
          </w:p>
        </w:tc>
      </w:tr>
      <w:tr w:rsidR="00465C9D" w:rsidRPr="002A53BD" w14:paraId="4D99E7F2" w14:textId="77777777" w:rsidTr="00465C9D">
        <w:trPr>
          <w:trHeight w:val="128"/>
        </w:trPr>
        <w:tc>
          <w:tcPr>
            <w:cnfStyle w:val="001000000000" w:firstRow="0" w:lastRow="0" w:firstColumn="1" w:lastColumn="0" w:oddVBand="0" w:evenVBand="0" w:oddHBand="0" w:evenHBand="0" w:firstRowFirstColumn="0" w:firstRowLastColumn="0" w:lastRowFirstColumn="0" w:lastRowLastColumn="0"/>
            <w:tcW w:w="0" w:type="auto"/>
            <w:vMerge/>
          </w:tcPr>
          <w:p w14:paraId="02CD4947" w14:textId="77777777" w:rsidR="00465C9D" w:rsidRPr="00553DC9" w:rsidRDefault="00465C9D" w:rsidP="00465C9D">
            <w:pPr>
              <w:spacing w:before="0" w:after="0" w:line="240" w:lineRule="auto"/>
              <w:rPr>
                <w:rFonts w:cs="Arial"/>
                <w:lang w:val="en-US" w:eastAsia="zh-CN"/>
              </w:rPr>
            </w:pPr>
          </w:p>
        </w:tc>
        <w:tc>
          <w:tcPr>
            <w:tcW w:w="0" w:type="auto"/>
          </w:tcPr>
          <w:p w14:paraId="1880D1C8" w14:textId="47F9DD08"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DT29, DT30, DT31</w:t>
            </w:r>
          </w:p>
        </w:tc>
        <w:tc>
          <w:tcPr>
            <w:tcW w:w="0" w:type="auto"/>
            <w:vMerge/>
          </w:tcPr>
          <w:p w14:paraId="20FCA6D9" w14:textId="1BC118D3"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144" w:type="dxa"/>
            <w:vMerge/>
          </w:tcPr>
          <w:p w14:paraId="17999E5D" w14:textId="748E039B"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166" w:type="dxa"/>
          </w:tcPr>
          <w:p w14:paraId="7B5D0CDB" w14:textId="3B171E2B" w:rsidR="00465C9D" w:rsidRPr="00553DC9" w:rsidRDefault="00465C9D" w:rsidP="00465C9D">
            <w:pPr>
              <w:spacing w:line="240" w:lineRule="auto"/>
              <w:cnfStyle w:val="000000000000" w:firstRow="0" w:lastRow="0" w:firstColumn="0" w:lastColumn="0" w:oddVBand="0" w:evenVBand="0" w:oddHBand="0" w:evenHBand="0" w:firstRowFirstColumn="0" w:firstRowLastColumn="0" w:lastRowFirstColumn="0" w:lastRowLastColumn="0"/>
              <w:rPr>
                <w:rFonts w:cs="Arial"/>
                <w:lang w:eastAsia="en-GB"/>
              </w:rPr>
            </w:pPr>
            <w:r w:rsidRPr="00553DC9">
              <w:rPr>
                <w:rFonts w:cs="Arial"/>
                <w:color w:val="000000"/>
                <w:szCs w:val="28"/>
              </w:rPr>
              <w:t>39.5</w:t>
            </w:r>
          </w:p>
        </w:tc>
        <w:tc>
          <w:tcPr>
            <w:tcW w:w="0" w:type="auto"/>
          </w:tcPr>
          <w:p w14:paraId="3BC31ACE" w14:textId="00ED3CB4"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eastAsia="en-GB"/>
              </w:rPr>
            </w:pPr>
            <w:r w:rsidRPr="00553DC9">
              <w:rPr>
                <w:rFonts w:cs="Arial"/>
                <w:b/>
                <w:bCs/>
                <w:color w:val="000000"/>
                <w:szCs w:val="28"/>
              </w:rPr>
              <w:t>50.8</w:t>
            </w:r>
          </w:p>
        </w:tc>
        <w:tc>
          <w:tcPr>
            <w:tcW w:w="0" w:type="auto"/>
          </w:tcPr>
          <w:p w14:paraId="46E82462" w14:textId="283E7A24"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eastAsia="en-GB"/>
              </w:rPr>
            </w:pPr>
            <w:r w:rsidRPr="00553DC9">
              <w:rPr>
                <w:rFonts w:cs="Arial"/>
                <w:b/>
                <w:bCs/>
                <w:color w:val="000000"/>
                <w:szCs w:val="28"/>
              </w:rPr>
              <w:t>53.3</w:t>
            </w:r>
          </w:p>
        </w:tc>
        <w:tc>
          <w:tcPr>
            <w:tcW w:w="0" w:type="auto"/>
          </w:tcPr>
          <w:p w14:paraId="52C88B62" w14:textId="7FE08C1F"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eastAsia="en-GB"/>
              </w:rPr>
            </w:pPr>
            <w:r w:rsidRPr="00553DC9">
              <w:rPr>
                <w:rFonts w:cs="Arial"/>
                <w:b/>
                <w:bCs/>
                <w:color w:val="000000"/>
                <w:szCs w:val="28"/>
              </w:rPr>
              <w:t>45.9</w:t>
            </w:r>
          </w:p>
        </w:tc>
        <w:tc>
          <w:tcPr>
            <w:tcW w:w="0" w:type="auto"/>
          </w:tcPr>
          <w:p w14:paraId="729808E3" w14:textId="2E979792" w:rsidR="00465C9D" w:rsidRPr="00553DC9" w:rsidRDefault="00465C9D" w:rsidP="00465C9D">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val="en-US" w:eastAsia="zh-CN"/>
              </w:rPr>
            </w:pPr>
            <w:r w:rsidRPr="00553DC9">
              <w:rPr>
                <w:rFonts w:cs="Arial"/>
                <w:b/>
                <w:bCs/>
                <w:lang w:val="en-US" w:eastAsia="zh-CN"/>
              </w:rPr>
              <w:t>44.0</w:t>
            </w:r>
          </w:p>
        </w:tc>
      </w:tr>
      <w:tr w:rsidR="000D2118" w:rsidRPr="002A53BD" w14:paraId="7EB35DCB" w14:textId="77777777" w:rsidTr="00574BF5">
        <w:trPr>
          <w:trHeight w:val="70"/>
        </w:trPr>
        <w:tc>
          <w:tcPr>
            <w:cnfStyle w:val="001000000000" w:firstRow="0" w:lastRow="0" w:firstColumn="1" w:lastColumn="0" w:oddVBand="0" w:evenVBand="0" w:oddHBand="0" w:evenHBand="0" w:firstRowFirstColumn="0" w:firstRowLastColumn="0" w:lastRowFirstColumn="0" w:lastRowLastColumn="0"/>
            <w:tcW w:w="0" w:type="auto"/>
            <w:gridSpan w:val="9"/>
          </w:tcPr>
          <w:p w14:paraId="4C912E18" w14:textId="77777777" w:rsidR="000D2118" w:rsidRDefault="000D2118" w:rsidP="00574BF5">
            <w:pPr>
              <w:spacing w:before="0" w:after="0" w:line="240" w:lineRule="auto"/>
              <w:jc w:val="left"/>
            </w:pPr>
            <w:r w:rsidRPr="00553DC9">
              <w:rPr>
                <w:b/>
                <w:bCs/>
              </w:rPr>
              <w:t>Bold</w:t>
            </w:r>
            <w:r w:rsidRPr="00553DC9">
              <w:t xml:space="preserve"> text denotes exceedance of annual mean objective</w:t>
            </w:r>
          </w:p>
          <w:p w14:paraId="5EEE800D" w14:textId="67619677" w:rsidR="00553DC9" w:rsidRPr="00553DC9" w:rsidRDefault="00553DC9" w:rsidP="00574BF5">
            <w:pPr>
              <w:spacing w:before="0" w:after="0" w:line="240" w:lineRule="auto"/>
              <w:jc w:val="left"/>
            </w:pPr>
            <w:r w:rsidRPr="00553DC9">
              <w:rPr>
                <w:b/>
                <w:bCs/>
                <w:u w:val="single"/>
              </w:rPr>
              <w:lastRenderedPageBreak/>
              <w:t>Bold and underlined</w:t>
            </w:r>
            <w:r>
              <w:rPr>
                <w:b/>
                <w:bCs/>
              </w:rPr>
              <w:t xml:space="preserve"> </w:t>
            </w:r>
            <w:r w:rsidRPr="00553DC9">
              <w:t xml:space="preserve">text denotes </w:t>
            </w:r>
            <w:r w:rsidRPr="00553DC9">
              <w:rPr>
                <w:rFonts w:cs="Arial"/>
                <w:kern w:val="18"/>
                <w:lang w:val="en-IE"/>
              </w:rPr>
              <w:t>NO</w:t>
            </w:r>
            <w:r w:rsidRPr="00553DC9">
              <w:rPr>
                <w:rFonts w:cs="Arial"/>
                <w:kern w:val="18"/>
                <w:vertAlign w:val="subscript"/>
                <w:lang w:val="en-IE"/>
              </w:rPr>
              <w:t>2</w:t>
            </w:r>
            <w:r w:rsidRPr="00553DC9">
              <w:t xml:space="preserve"> annual means exceeding 60 </w:t>
            </w:r>
            <w:r w:rsidRPr="00553DC9">
              <w:rPr>
                <w:rFonts w:cs="Arial"/>
                <w:kern w:val="18"/>
                <w:lang w:val="en-IE"/>
              </w:rPr>
              <w:t>µg/m</w:t>
            </w:r>
            <w:r w:rsidRPr="00553DC9">
              <w:rPr>
                <w:rFonts w:cs="Arial"/>
                <w:kern w:val="18"/>
                <w:vertAlign w:val="superscript"/>
                <w:lang w:val="en-IE"/>
              </w:rPr>
              <w:t>3</w:t>
            </w:r>
            <w:r w:rsidRPr="00553DC9">
              <w:t>, indicating a potential exceedance of the 1-hour mean objective</w:t>
            </w:r>
          </w:p>
        </w:tc>
      </w:tr>
    </w:tbl>
    <w:bookmarkStart w:id="23" w:name="_Ref203468003"/>
    <w:p w14:paraId="6101D227" w14:textId="16B40A94" w:rsidR="00A44F46" w:rsidRDefault="003C0A69" w:rsidP="00E9790C">
      <w:pPr>
        <w:pStyle w:val="Caption"/>
      </w:pPr>
      <w:r>
        <w:rPr>
          <w:noProof/>
        </w:rPr>
        <w:lastRenderedPageBreak/>
        <mc:AlternateContent>
          <mc:Choice Requires="wps">
            <w:drawing>
              <wp:anchor distT="0" distB="0" distL="114300" distR="114300" simplePos="0" relativeHeight="251659264" behindDoc="0" locked="0" layoutInCell="1" allowOverlap="1" wp14:anchorId="1119681F" wp14:editId="4AFDC1F1">
                <wp:simplePos x="0" y="0"/>
                <wp:positionH relativeFrom="column">
                  <wp:posOffset>5084445</wp:posOffset>
                </wp:positionH>
                <wp:positionV relativeFrom="paragraph">
                  <wp:posOffset>4059555</wp:posOffset>
                </wp:positionV>
                <wp:extent cx="914400" cy="145855"/>
                <wp:effectExtent l="0" t="0" r="19050" b="26035"/>
                <wp:wrapNone/>
                <wp:docPr id="79758172" name="Rectangle 1"/>
                <wp:cNvGraphicFramePr/>
                <a:graphic xmlns:a="http://schemas.openxmlformats.org/drawingml/2006/main">
                  <a:graphicData uri="http://schemas.microsoft.com/office/word/2010/wordprocessingShape">
                    <wps:wsp>
                      <wps:cNvSpPr/>
                      <wps:spPr>
                        <a:xfrm>
                          <a:off x="0" y="0"/>
                          <a:ext cx="914400" cy="1458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90D0F" id="Rectangle 1" o:spid="_x0000_s1026" style="position:absolute;margin-left:400.35pt;margin-top:319.65pt;width:1in;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" fillcolor="white [3212]" strokecolor="white [3212]" strokeweight="1pt"/>
            </w:pict>
          </mc:Fallback>
        </mc:AlternateContent>
      </w:r>
      <w:r w:rsidR="00A44F46">
        <w:rPr>
          <w:noProof/>
        </w:rPr>
        <w:drawing>
          <wp:inline distT="0" distB="0" distL="0" distR="0" wp14:anchorId="18BE0527" wp14:editId="5CAAB033">
            <wp:extent cx="5759450" cy="4071620"/>
            <wp:effectExtent l="0" t="0" r="0" b="5080"/>
            <wp:docPr id="140693108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31085" name="Picture 1" descr="A map of a city&#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4071620"/>
                    </a:xfrm>
                    <a:prstGeom prst="rect">
                      <a:avLst/>
                    </a:prstGeom>
                  </pic:spPr>
                </pic:pic>
              </a:graphicData>
            </a:graphic>
          </wp:inline>
        </w:drawing>
      </w:r>
    </w:p>
    <w:p w14:paraId="2B44D19D" w14:textId="41A475E4" w:rsidR="001826D2" w:rsidRPr="001826D2" w:rsidRDefault="001826D2" w:rsidP="001826D2">
      <w:pPr>
        <w:pStyle w:val="Caption"/>
      </w:pPr>
      <w:bookmarkStart w:id="24" w:name="_Ref209771438"/>
      <w:bookmarkStart w:id="25" w:name="_Toc222131914"/>
      <w:bookmarkEnd w:id="23"/>
      <w:r>
        <w:t xml:space="preserve">Figure </w:t>
      </w:r>
      <w:r w:rsidR="00946EE5">
        <w:fldChar w:fldCharType="begin"/>
      </w:r>
      <w:r w:rsidR="00946EE5">
        <w:instrText xml:space="preserve"> STYLEREF 1 \s </w:instrText>
      </w:r>
      <w:r w:rsidR="00946EE5">
        <w:fldChar w:fldCharType="separate"/>
      </w:r>
      <w:r w:rsidR="00946EE5">
        <w:rPr>
          <w:noProof/>
        </w:rPr>
        <w:t>2</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2</w:t>
      </w:r>
      <w:r w:rsidR="00946EE5">
        <w:fldChar w:fldCharType="end"/>
      </w:r>
      <w:bookmarkEnd w:id="24"/>
      <w:r>
        <w:t xml:space="preserve"> - Monitoring locations that exceeded the Air Quality Objective (or were within 10% of exceeding) in 2024</w:t>
      </w:r>
      <w:bookmarkEnd w:id="25"/>
    </w:p>
    <w:p w14:paraId="06C85DFA" w14:textId="1E6E3EC0" w:rsidR="00F60C12" w:rsidRDefault="00F60C12" w:rsidP="0005447E">
      <w:pPr>
        <w:rPr>
          <w:rFonts w:cs="Arial"/>
          <w:lang w:eastAsia="zh-CN"/>
        </w:rPr>
      </w:pPr>
      <w:r w:rsidRPr="00136E55">
        <w:rPr>
          <w:rFonts w:cs="Arial"/>
          <w:lang w:eastAsia="zh-CN"/>
        </w:rPr>
        <w:t>DT8 is situated on a road with several bus stops, where idling bus engines likely contribute to higher pollutant levels. DT102</w:t>
      </w:r>
      <w:r w:rsidR="00AE681C">
        <w:rPr>
          <w:rFonts w:cs="Arial"/>
          <w:lang w:eastAsia="zh-CN"/>
        </w:rPr>
        <w:t xml:space="preserve"> (John Dobson Street)</w:t>
      </w:r>
      <w:r w:rsidRPr="00136E55">
        <w:rPr>
          <w:rFonts w:cs="Arial"/>
          <w:lang w:eastAsia="zh-CN"/>
        </w:rPr>
        <w:t xml:space="preserve"> is positioned on a road with heavy bus traffic</w:t>
      </w:r>
      <w:r w:rsidR="00AE681C">
        <w:rPr>
          <w:rFonts w:cs="Arial"/>
          <w:lang w:eastAsia="zh-CN"/>
        </w:rPr>
        <w:t xml:space="preserve"> and traffic associated with the recent redevelopment of East Pilgrim Street</w:t>
      </w:r>
      <w:r w:rsidRPr="00136E55">
        <w:rPr>
          <w:rFonts w:cs="Arial"/>
          <w:lang w:eastAsia="zh-CN"/>
        </w:rPr>
        <w:t>, leading to elevated concentrations. The triplicate site DT5, DT115, and DT116 is near pedestrian-controlled traffic lights</w:t>
      </w:r>
      <w:r w:rsidR="00AE681C">
        <w:rPr>
          <w:rFonts w:cs="Arial"/>
          <w:lang w:eastAsia="zh-CN"/>
        </w:rPr>
        <w:t xml:space="preserve"> and a bus stop</w:t>
      </w:r>
      <w:r w:rsidRPr="00136E55">
        <w:rPr>
          <w:rFonts w:cs="Arial"/>
          <w:lang w:eastAsia="zh-CN"/>
        </w:rPr>
        <w:t>, where frequent braking and acceleration increase pollutant levels. The triplicate site DT29, DT30, and DT31 is co-located with the automatic monitor on Percy Street, which experiences high bus traffic due to its proximity to the bus station, contributing to elevated concentrations. DT81 is located by a dual carriageway</w:t>
      </w:r>
      <w:r w:rsidR="00AE681C">
        <w:rPr>
          <w:rFonts w:cs="Arial"/>
          <w:lang w:eastAsia="zh-CN"/>
        </w:rPr>
        <w:t xml:space="preserve"> on an incline</w:t>
      </w:r>
      <w:r w:rsidRPr="00136E55">
        <w:rPr>
          <w:rFonts w:cs="Arial"/>
          <w:lang w:eastAsia="zh-CN"/>
        </w:rPr>
        <w:t xml:space="preserve"> that often faces congestion, leading to higher pollutant levels.</w:t>
      </w:r>
    </w:p>
    <w:p w14:paraId="0890E12C" w14:textId="08C0EFB9" w:rsidR="008F5866" w:rsidRDefault="008F5866" w:rsidP="0005447E">
      <w:r>
        <w:t>However, many of these sites are not at relevant exposure</w:t>
      </w:r>
      <w:r w:rsidR="00AE681C">
        <w:t>, for example, residential accommodation,</w:t>
      </w:r>
      <w:r>
        <w:t xml:space="preserve"> as they are located at roadside locations, so they require distance correction. </w:t>
      </w:r>
      <w:r w:rsidR="004573FE">
        <w:t xml:space="preserve">The </w:t>
      </w:r>
      <w:r w:rsidR="00F23334">
        <w:t xml:space="preserve">annual mean </w:t>
      </w:r>
      <w:r w:rsidR="004573FE">
        <w:t>NO</w:t>
      </w:r>
      <w:r w:rsidR="004573FE" w:rsidRPr="004573FE">
        <w:rPr>
          <w:vertAlign w:val="subscript"/>
        </w:rPr>
        <w:t>2</w:t>
      </w:r>
      <w:r w:rsidR="004573FE">
        <w:t xml:space="preserve"> concentrations </w:t>
      </w:r>
      <w:r>
        <w:t>at relevant exposure</w:t>
      </w:r>
      <w:r w:rsidR="004573FE">
        <w:t xml:space="preserve"> following </w:t>
      </w:r>
      <w:r w:rsidR="004573FE">
        <w:lastRenderedPageBreak/>
        <w:t>distance correction</w:t>
      </w:r>
      <w:r>
        <w:t xml:space="preserve"> are</w:t>
      </w:r>
      <w:r w:rsidR="00C54506">
        <w:t xml:space="preserve"> listed</w:t>
      </w:r>
      <w:r>
        <w:t xml:space="preserve"> </w:t>
      </w:r>
      <w:r w:rsidR="00C54506">
        <w:t xml:space="preserve">in </w:t>
      </w:r>
      <w:r w:rsidR="00C54506" w:rsidRPr="00C54506">
        <w:fldChar w:fldCharType="begin"/>
      </w:r>
      <w:r w:rsidR="00C54506" w:rsidRPr="00C54506">
        <w:instrText xml:space="preserve"> REF _Ref209700804 \h </w:instrText>
      </w:r>
      <w:r w:rsidR="00C54506" w:rsidRPr="00EB0567">
        <w:instrText xml:space="preserve"> \* MERGEFORMAT </w:instrText>
      </w:r>
      <w:r w:rsidR="00C54506" w:rsidRPr="00C54506">
        <w:fldChar w:fldCharType="separate"/>
      </w:r>
      <w:r w:rsidR="00C54506" w:rsidRPr="00EB0567">
        <w:t xml:space="preserve">Table </w:t>
      </w:r>
      <w:r w:rsidR="00C54506" w:rsidRPr="00EB0567">
        <w:rPr>
          <w:noProof/>
        </w:rPr>
        <w:t>2</w:t>
      </w:r>
      <w:r w:rsidR="00C54506" w:rsidRPr="00EB0567">
        <w:t>.</w:t>
      </w:r>
      <w:r w:rsidR="00C54506" w:rsidRPr="00EB0567">
        <w:rPr>
          <w:noProof/>
        </w:rPr>
        <w:t>3</w:t>
      </w:r>
      <w:r w:rsidR="00C54506" w:rsidRPr="00C54506">
        <w:fldChar w:fldCharType="end"/>
      </w:r>
      <w:r w:rsidR="004573FE">
        <w:t>.</w:t>
      </w:r>
      <w:r w:rsidR="00C54506">
        <w:t xml:space="preserve"> DT102 is not representative of relevant exposure and has therefore been excluded</w:t>
      </w:r>
      <w:r w:rsidR="002454B4">
        <w:t xml:space="preserve"> from the assessment. DT8 and DT5/115/116 did not require distance correction as they are </w:t>
      </w:r>
      <w:r w:rsidR="004573FE">
        <w:t xml:space="preserve">already located </w:t>
      </w:r>
      <w:r w:rsidR="002454B4">
        <w:t>at relevant exposure</w:t>
      </w:r>
      <w:r w:rsidR="004573FE">
        <w:t xml:space="preserve"> but are replicated here for a complete dataset</w:t>
      </w:r>
      <w:r w:rsidR="002454B4">
        <w:t>.</w:t>
      </w:r>
    </w:p>
    <w:p w14:paraId="1E5EB378" w14:textId="5B6E8632" w:rsidR="00C54506" w:rsidRDefault="00C54506" w:rsidP="0005447E">
      <w:pPr>
        <w:rPr>
          <w:b/>
          <w:bCs/>
          <w:color w:val="006726"/>
        </w:rPr>
      </w:pPr>
      <w:bookmarkStart w:id="26" w:name="_Ref209700804"/>
      <w:bookmarkStart w:id="27" w:name="_Toc222131897"/>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Pr>
          <w:b/>
          <w:bCs/>
          <w:noProof/>
          <w:color w:val="006726"/>
        </w:rPr>
        <w:t>2</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Pr>
          <w:b/>
          <w:bCs/>
          <w:noProof/>
          <w:color w:val="006726"/>
        </w:rPr>
        <w:t>3</w:t>
      </w:r>
      <w:r w:rsidRPr="00A85C14">
        <w:rPr>
          <w:b/>
          <w:bCs/>
          <w:color w:val="006726"/>
        </w:rPr>
        <w:fldChar w:fldCharType="end"/>
      </w:r>
      <w:bookmarkEnd w:id="26"/>
      <w:r w:rsidRPr="00A85C14">
        <w:rPr>
          <w:b/>
          <w:bCs/>
          <w:color w:val="006726"/>
        </w:rPr>
        <w:t xml:space="preserve"> – </w:t>
      </w:r>
      <w:r w:rsidR="004573FE">
        <w:rPr>
          <w:b/>
          <w:bCs/>
          <w:color w:val="006726"/>
        </w:rPr>
        <w:t>Estimated</w:t>
      </w:r>
      <w:r>
        <w:rPr>
          <w:b/>
          <w:bCs/>
          <w:color w:val="006726"/>
        </w:rPr>
        <w:t xml:space="preserve"> annual mean NO</w:t>
      </w:r>
      <w:r w:rsidRPr="00EB0567">
        <w:rPr>
          <w:b/>
          <w:bCs/>
          <w:color w:val="006726"/>
          <w:vertAlign w:val="subscript"/>
        </w:rPr>
        <w:t>2</w:t>
      </w:r>
      <w:r>
        <w:rPr>
          <w:b/>
          <w:bCs/>
          <w:color w:val="006726"/>
        </w:rPr>
        <w:t xml:space="preserve"> concentrations</w:t>
      </w:r>
      <w:r w:rsidR="004573FE">
        <w:rPr>
          <w:b/>
          <w:bCs/>
          <w:color w:val="006726"/>
        </w:rPr>
        <w:t xml:space="preserve"> at relevant exposure</w:t>
      </w:r>
      <w:r>
        <w:rPr>
          <w:b/>
          <w:bCs/>
          <w:color w:val="006726"/>
        </w:rPr>
        <w:t xml:space="preserve"> of the exceeding sites and sites within 10% of the air quality objective</w:t>
      </w:r>
      <w:bookmarkEnd w:id="27"/>
    </w:p>
    <w:tbl>
      <w:tblPr>
        <w:tblStyle w:val="TableStyle4"/>
        <w:tblW w:w="0" w:type="auto"/>
        <w:tblLook w:val="04A0" w:firstRow="1" w:lastRow="0" w:firstColumn="1" w:lastColumn="0" w:noHBand="0" w:noVBand="1"/>
        <w:tblCaption w:val="Declared Air Quality Management Areas"/>
        <w:tblDescription w:val="The table shows the current AQMAs that are designated within the council."/>
      </w:tblPr>
      <w:tblGrid>
        <w:gridCol w:w="1508"/>
        <w:gridCol w:w="984"/>
        <w:gridCol w:w="981"/>
        <w:gridCol w:w="1343"/>
        <w:gridCol w:w="1388"/>
        <w:gridCol w:w="714"/>
        <w:gridCol w:w="714"/>
        <w:gridCol w:w="714"/>
        <w:gridCol w:w="714"/>
      </w:tblGrid>
      <w:tr w:rsidR="00C54506" w:rsidRPr="002A53BD" w14:paraId="25140FDD" w14:textId="77777777" w:rsidTr="004573F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6600"/>
          </w:tcPr>
          <w:p w14:paraId="54E103EC" w14:textId="77777777" w:rsidR="00C54506" w:rsidRPr="002A53BD" w:rsidRDefault="00C54506" w:rsidP="00D8513A">
            <w:pPr>
              <w:spacing w:before="0" w:after="0" w:line="240" w:lineRule="auto"/>
              <w:rPr>
                <w:b w:val="0"/>
                <w:color w:val="FFFFFF" w:themeColor="background1"/>
              </w:rPr>
            </w:pPr>
            <w:r w:rsidRPr="002A53BD">
              <w:rPr>
                <w:color w:val="FFFFFF" w:themeColor="background1"/>
              </w:rPr>
              <w:t>Location</w:t>
            </w:r>
          </w:p>
        </w:tc>
        <w:tc>
          <w:tcPr>
            <w:tcW w:w="0" w:type="auto"/>
            <w:vMerge w:val="restart"/>
            <w:shd w:val="clear" w:color="auto" w:fill="006600"/>
          </w:tcPr>
          <w:p w14:paraId="5760547E" w14:textId="77777777" w:rsidR="00C54506" w:rsidRPr="002A53BD" w:rsidRDefault="00C54506"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ID</w:t>
            </w:r>
          </w:p>
        </w:tc>
        <w:tc>
          <w:tcPr>
            <w:tcW w:w="0" w:type="auto"/>
            <w:vMerge w:val="restart"/>
            <w:shd w:val="clear" w:color="auto" w:fill="006600"/>
          </w:tcPr>
          <w:p w14:paraId="259644DC" w14:textId="77777777" w:rsidR="00C54506" w:rsidRPr="002A53BD" w:rsidRDefault="00C54506"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X</w:t>
            </w:r>
          </w:p>
        </w:tc>
        <w:tc>
          <w:tcPr>
            <w:tcW w:w="1343" w:type="dxa"/>
            <w:vMerge w:val="restart"/>
            <w:shd w:val="clear" w:color="auto" w:fill="006600"/>
          </w:tcPr>
          <w:p w14:paraId="10DC72A8" w14:textId="77777777" w:rsidR="00C54506" w:rsidRPr="002A53BD" w:rsidRDefault="00C54506"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53BD">
              <w:rPr>
                <w:color w:val="FFFFFF" w:themeColor="background1"/>
              </w:rPr>
              <w:t>Y</w:t>
            </w:r>
          </w:p>
        </w:tc>
        <w:tc>
          <w:tcPr>
            <w:tcW w:w="4244" w:type="dxa"/>
            <w:gridSpan w:val="5"/>
            <w:shd w:val="clear" w:color="auto" w:fill="006600"/>
          </w:tcPr>
          <w:p w14:paraId="74275C7D" w14:textId="77777777" w:rsidR="00C54506" w:rsidRPr="00FB0919" w:rsidRDefault="00C54506"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FB0919">
              <w:rPr>
                <w:bCs/>
                <w:color w:val="FFFFFF" w:themeColor="background1"/>
              </w:rPr>
              <w:t>Annual mean NO</w:t>
            </w:r>
            <w:r w:rsidRPr="00FB0919">
              <w:rPr>
                <w:bCs/>
                <w:color w:val="FFFFFF" w:themeColor="background1"/>
                <w:vertAlign w:val="subscript"/>
              </w:rPr>
              <w:t>2</w:t>
            </w:r>
            <w:r w:rsidRPr="00FB0919">
              <w:rPr>
                <w:bCs/>
                <w:color w:val="FFFFFF" w:themeColor="background1"/>
              </w:rPr>
              <w:t xml:space="preserve"> concentration (</w:t>
            </w:r>
            <w:r w:rsidRPr="00FB0919">
              <w:rPr>
                <w:bCs/>
              </w:rPr>
              <w:t>µg/m</w:t>
            </w:r>
            <w:r w:rsidRPr="00FB0919">
              <w:rPr>
                <w:bCs/>
                <w:vertAlign w:val="superscript"/>
              </w:rPr>
              <w:t>3</w:t>
            </w:r>
            <w:r w:rsidRPr="00FB0919">
              <w:rPr>
                <w:bCs/>
              </w:rPr>
              <w:t>)</w:t>
            </w:r>
          </w:p>
        </w:tc>
      </w:tr>
      <w:tr w:rsidR="00C54506" w:rsidRPr="002A53BD" w14:paraId="30DBF350" w14:textId="77777777" w:rsidTr="004573FE">
        <w:trPr>
          <w:trHeight w:val="3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6600"/>
          </w:tcPr>
          <w:p w14:paraId="0DB14CDB" w14:textId="77777777" w:rsidR="00C54506" w:rsidRPr="002A53BD" w:rsidRDefault="00C54506" w:rsidP="00D8513A">
            <w:pPr>
              <w:spacing w:before="0" w:after="0" w:line="240" w:lineRule="auto"/>
              <w:rPr>
                <w:rFonts w:eastAsia="Times New Roman" w:cs="Arial"/>
                <w:bCs/>
                <w:color w:val="FFFFFF" w:themeColor="background1"/>
                <w:lang w:val="en-US" w:eastAsia="zh-CN"/>
              </w:rPr>
            </w:pPr>
          </w:p>
        </w:tc>
        <w:tc>
          <w:tcPr>
            <w:tcW w:w="0" w:type="auto"/>
            <w:vMerge/>
            <w:shd w:val="clear" w:color="auto" w:fill="006600"/>
          </w:tcPr>
          <w:p w14:paraId="65DE308B"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0" w:type="auto"/>
            <w:vMerge/>
            <w:shd w:val="clear" w:color="auto" w:fill="006600"/>
          </w:tcPr>
          <w:p w14:paraId="17F92D2C"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343" w:type="dxa"/>
            <w:vMerge/>
            <w:shd w:val="clear" w:color="auto" w:fill="006600"/>
          </w:tcPr>
          <w:p w14:paraId="4D46C14F"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388" w:type="dxa"/>
            <w:shd w:val="clear" w:color="auto" w:fill="006600"/>
          </w:tcPr>
          <w:p w14:paraId="2E72C2C0" w14:textId="77777777" w:rsidR="00C54506" w:rsidRPr="002A53BD" w:rsidRDefault="00C54506" w:rsidP="00D8513A">
            <w:pPr>
              <w:spacing w:line="240" w:lineRule="auto"/>
              <w:cnfStyle w:val="000000000000" w:firstRow="0" w:lastRow="0" w:firstColumn="0" w:lastColumn="0" w:oddVBand="0" w:evenVBand="0" w:oddHBand="0" w:evenHBand="0" w:firstRowFirstColumn="0" w:firstRowLastColumn="0" w:lastRowFirstColumn="0" w:lastRowLastColumn="0"/>
              <w:rPr>
                <w:color w:val="FFFFFF" w:themeColor="background1"/>
              </w:rPr>
            </w:pPr>
            <w:r w:rsidRPr="002A53BD">
              <w:rPr>
                <w:b/>
                <w:color w:val="FFFFFF" w:themeColor="background1"/>
              </w:rPr>
              <w:t>20</w:t>
            </w:r>
            <w:r>
              <w:rPr>
                <w:b/>
                <w:color w:val="FFFFFF" w:themeColor="background1"/>
              </w:rPr>
              <w:t>20</w:t>
            </w:r>
          </w:p>
        </w:tc>
        <w:tc>
          <w:tcPr>
            <w:tcW w:w="0" w:type="auto"/>
            <w:shd w:val="clear" w:color="auto" w:fill="006600"/>
          </w:tcPr>
          <w:p w14:paraId="03A60B6E"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1</w:t>
            </w:r>
          </w:p>
        </w:tc>
        <w:tc>
          <w:tcPr>
            <w:tcW w:w="0" w:type="auto"/>
            <w:shd w:val="clear" w:color="auto" w:fill="006600"/>
          </w:tcPr>
          <w:p w14:paraId="14113FF9"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2</w:t>
            </w:r>
          </w:p>
        </w:tc>
        <w:tc>
          <w:tcPr>
            <w:tcW w:w="0" w:type="auto"/>
            <w:shd w:val="clear" w:color="auto" w:fill="006600"/>
          </w:tcPr>
          <w:p w14:paraId="74CFF218"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3</w:t>
            </w:r>
          </w:p>
        </w:tc>
        <w:tc>
          <w:tcPr>
            <w:tcW w:w="0" w:type="auto"/>
            <w:shd w:val="clear" w:color="auto" w:fill="006600"/>
          </w:tcPr>
          <w:p w14:paraId="68877D39" w14:textId="77777777" w:rsidR="00C54506" w:rsidRPr="002A53BD" w:rsidRDefault="00C54506"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Cs/>
                <w:color w:val="FFFFFF" w:themeColor="background1"/>
                <w:lang w:val="en-US" w:eastAsia="zh-CN"/>
              </w:rPr>
            </w:pPr>
            <w:r w:rsidRPr="002A53BD">
              <w:rPr>
                <w:b/>
                <w:color w:val="FFFFFF" w:themeColor="background1"/>
              </w:rPr>
              <w:t>202</w:t>
            </w:r>
            <w:r>
              <w:rPr>
                <w:b/>
                <w:color w:val="FFFFFF" w:themeColor="background1"/>
              </w:rPr>
              <w:t>4</w:t>
            </w:r>
          </w:p>
        </w:tc>
      </w:tr>
      <w:tr w:rsidR="004573FE" w:rsidRPr="002A53BD" w14:paraId="7BB8A09C" w14:textId="77777777" w:rsidTr="004573FE">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295B4D72" w14:textId="3A7BC666" w:rsidR="004573FE" w:rsidRPr="00553DC9" w:rsidRDefault="004573FE" w:rsidP="004573FE">
            <w:pPr>
              <w:spacing w:before="0" w:after="0" w:line="240" w:lineRule="auto"/>
              <w:rPr>
                <w:rFonts w:cs="Arial"/>
                <w:lang w:val="en-US" w:eastAsia="zh-CN"/>
              </w:rPr>
            </w:pPr>
            <w:r w:rsidRPr="00553DC9">
              <w:rPr>
                <w:rFonts w:eastAsia="Times New Roman" w:cs="Arial"/>
                <w:lang w:val="en-US" w:eastAsia="zh-CN"/>
              </w:rPr>
              <w:t>10 Market Street</w:t>
            </w:r>
          </w:p>
        </w:tc>
        <w:tc>
          <w:tcPr>
            <w:tcW w:w="0" w:type="auto"/>
          </w:tcPr>
          <w:p w14:paraId="2EB6D6B9" w14:textId="39771038"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eastAsia="Times New Roman" w:cs="Arial"/>
                <w:lang w:val="en-US" w:eastAsia="zh-CN"/>
              </w:rPr>
              <w:t>DT8</w:t>
            </w:r>
          </w:p>
        </w:tc>
        <w:tc>
          <w:tcPr>
            <w:tcW w:w="0" w:type="auto"/>
          </w:tcPr>
          <w:p w14:paraId="3758358C" w14:textId="27B6140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553DC9">
              <w:t>424936</w:t>
            </w:r>
          </w:p>
        </w:tc>
        <w:tc>
          <w:tcPr>
            <w:tcW w:w="1343" w:type="dxa"/>
          </w:tcPr>
          <w:p w14:paraId="4E0B1A7E" w14:textId="0F2B28A9"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553DC9">
              <w:t>564333</w:t>
            </w:r>
          </w:p>
        </w:tc>
        <w:tc>
          <w:tcPr>
            <w:tcW w:w="1388" w:type="dxa"/>
          </w:tcPr>
          <w:p w14:paraId="1B043D6D" w14:textId="05C3A640" w:rsidR="004573FE" w:rsidRDefault="004573FE" w:rsidP="004573FE">
            <w:pPr>
              <w:spacing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color w:val="000000"/>
              </w:rPr>
              <w:t>29.8</w:t>
            </w:r>
          </w:p>
        </w:tc>
        <w:tc>
          <w:tcPr>
            <w:tcW w:w="0" w:type="auto"/>
          </w:tcPr>
          <w:p w14:paraId="0CB5366C" w14:textId="3DCDAA56"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553DC9">
              <w:rPr>
                <w:rFonts w:cs="Arial"/>
                <w:color w:val="000000"/>
              </w:rPr>
              <w:t>39.9</w:t>
            </w:r>
          </w:p>
        </w:tc>
        <w:tc>
          <w:tcPr>
            <w:tcW w:w="0" w:type="auto"/>
          </w:tcPr>
          <w:p w14:paraId="1EF58D13" w14:textId="160C6ADA"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553DC9">
              <w:rPr>
                <w:rFonts w:cs="Arial"/>
                <w:b/>
                <w:bCs/>
                <w:color w:val="000000"/>
              </w:rPr>
              <w:t>44.7</w:t>
            </w:r>
          </w:p>
        </w:tc>
        <w:tc>
          <w:tcPr>
            <w:tcW w:w="0" w:type="auto"/>
          </w:tcPr>
          <w:p w14:paraId="4D31E273" w14:textId="756BFD37" w:rsidR="004573FE"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rPr>
              <w:t>42.2</w:t>
            </w:r>
          </w:p>
        </w:tc>
        <w:tc>
          <w:tcPr>
            <w:tcW w:w="0" w:type="auto"/>
          </w:tcPr>
          <w:p w14:paraId="0DC939BC" w14:textId="4ADE26E2"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38.5</w:t>
            </w:r>
          </w:p>
        </w:tc>
      </w:tr>
      <w:tr w:rsidR="004573FE" w:rsidRPr="002A53BD" w14:paraId="7466FC40" w14:textId="77777777" w:rsidTr="004573FE">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2BCC3842" w14:textId="47A825E6" w:rsidR="004573FE" w:rsidRPr="00553DC9" w:rsidRDefault="004573FE" w:rsidP="004573FE">
            <w:pPr>
              <w:spacing w:before="0" w:after="0" w:line="240" w:lineRule="auto"/>
              <w:rPr>
                <w:rFonts w:cs="Arial"/>
                <w:lang w:val="en-US" w:eastAsia="zh-CN"/>
              </w:rPr>
            </w:pPr>
            <w:r w:rsidRPr="00553DC9">
              <w:rPr>
                <w:rFonts w:cs="Arial"/>
                <w:lang w:val="en-US" w:eastAsia="zh-CN"/>
              </w:rPr>
              <w:t>St Mary’s Place</w:t>
            </w:r>
          </w:p>
        </w:tc>
        <w:tc>
          <w:tcPr>
            <w:tcW w:w="0" w:type="auto"/>
          </w:tcPr>
          <w:p w14:paraId="5496FA9E" w14:textId="18C2D07C"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DT5, DT115, DT116</w:t>
            </w:r>
          </w:p>
        </w:tc>
        <w:tc>
          <w:tcPr>
            <w:tcW w:w="0" w:type="auto"/>
          </w:tcPr>
          <w:p w14:paraId="3F19538B" w14:textId="04C4D60E"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553DC9">
              <w:t>424948</w:t>
            </w:r>
          </w:p>
        </w:tc>
        <w:tc>
          <w:tcPr>
            <w:tcW w:w="1343" w:type="dxa"/>
          </w:tcPr>
          <w:p w14:paraId="49A6D4A9" w14:textId="0E54829F"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sidRPr="00553DC9">
              <w:t>564872</w:t>
            </w:r>
          </w:p>
        </w:tc>
        <w:tc>
          <w:tcPr>
            <w:tcW w:w="1388" w:type="dxa"/>
          </w:tcPr>
          <w:p w14:paraId="20393715" w14:textId="5B23D5B1" w:rsidR="004573FE" w:rsidRDefault="004573FE" w:rsidP="004573FE">
            <w:pPr>
              <w:spacing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color w:val="000000"/>
                <w:szCs w:val="28"/>
              </w:rPr>
              <w:t>37.5</w:t>
            </w:r>
          </w:p>
        </w:tc>
        <w:tc>
          <w:tcPr>
            <w:tcW w:w="0" w:type="auto"/>
          </w:tcPr>
          <w:p w14:paraId="4E02D261" w14:textId="08C9CF88"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553DC9">
              <w:rPr>
                <w:rFonts w:cs="Arial"/>
                <w:b/>
                <w:bCs/>
                <w:color w:val="000000"/>
                <w:szCs w:val="28"/>
              </w:rPr>
              <w:t>44.2</w:t>
            </w:r>
          </w:p>
        </w:tc>
        <w:tc>
          <w:tcPr>
            <w:tcW w:w="0" w:type="auto"/>
          </w:tcPr>
          <w:p w14:paraId="5D4DC474" w14:textId="412B3AEB"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553DC9">
              <w:rPr>
                <w:rFonts w:cs="Arial"/>
                <w:b/>
                <w:bCs/>
                <w:color w:val="000000"/>
                <w:szCs w:val="28"/>
              </w:rPr>
              <w:t>46.3</w:t>
            </w:r>
          </w:p>
        </w:tc>
        <w:tc>
          <w:tcPr>
            <w:tcW w:w="0" w:type="auto"/>
          </w:tcPr>
          <w:p w14:paraId="0B768197" w14:textId="32803126" w:rsidR="004573FE"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sidRPr="00553DC9">
              <w:rPr>
                <w:rFonts w:cs="Arial"/>
                <w:b/>
                <w:bCs/>
                <w:color w:val="000000"/>
                <w:szCs w:val="28"/>
              </w:rPr>
              <w:t>40.3</w:t>
            </w:r>
          </w:p>
        </w:tc>
        <w:tc>
          <w:tcPr>
            <w:tcW w:w="0" w:type="auto"/>
          </w:tcPr>
          <w:p w14:paraId="5C564376" w14:textId="7AEA483B"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36.3</w:t>
            </w:r>
          </w:p>
        </w:tc>
      </w:tr>
      <w:tr w:rsidR="004573FE" w:rsidRPr="002A53BD" w14:paraId="57123C9D" w14:textId="77777777" w:rsidTr="004573FE">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66F1E5AA" w14:textId="77777777" w:rsidR="004573FE" w:rsidRPr="00553DC9" w:rsidRDefault="004573FE" w:rsidP="004573FE">
            <w:pPr>
              <w:spacing w:before="0" w:after="0" w:line="240" w:lineRule="auto"/>
              <w:rPr>
                <w:rFonts w:cs="Arial"/>
                <w:lang w:val="en-US" w:eastAsia="zh-CN"/>
              </w:rPr>
            </w:pPr>
            <w:r w:rsidRPr="00553DC9">
              <w:rPr>
                <w:rFonts w:cs="Arial"/>
                <w:lang w:val="en-US" w:eastAsia="zh-CN"/>
              </w:rPr>
              <w:t>Stephenson Road, entrance to Jesmond Pk West</w:t>
            </w:r>
          </w:p>
        </w:tc>
        <w:tc>
          <w:tcPr>
            <w:tcW w:w="0" w:type="auto"/>
          </w:tcPr>
          <w:p w14:paraId="6904A1E4"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DT81</w:t>
            </w:r>
          </w:p>
        </w:tc>
        <w:tc>
          <w:tcPr>
            <w:tcW w:w="0" w:type="auto"/>
          </w:tcPr>
          <w:p w14:paraId="71C3A0AF"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426546</w:t>
            </w:r>
          </w:p>
        </w:tc>
        <w:tc>
          <w:tcPr>
            <w:tcW w:w="1343" w:type="dxa"/>
          </w:tcPr>
          <w:p w14:paraId="78F85940"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566260</w:t>
            </w:r>
          </w:p>
        </w:tc>
        <w:tc>
          <w:tcPr>
            <w:tcW w:w="1388" w:type="dxa"/>
          </w:tcPr>
          <w:p w14:paraId="6A84D9DE" w14:textId="72630CFE" w:rsidR="004573FE" w:rsidRPr="00553DC9" w:rsidRDefault="004573FE" w:rsidP="004573FE">
            <w:pPr>
              <w:spacing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Pr>
                <w:rFonts w:cs="Arial"/>
                <w:szCs w:val="28"/>
                <w:lang w:val="en-US" w:eastAsia="zh-CN"/>
              </w:rPr>
              <w:t>34.8</w:t>
            </w:r>
          </w:p>
        </w:tc>
        <w:tc>
          <w:tcPr>
            <w:tcW w:w="0" w:type="auto"/>
          </w:tcPr>
          <w:p w14:paraId="05A70FF7" w14:textId="64B0633B"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EB0567">
              <w:rPr>
                <w:rFonts w:cs="Arial"/>
                <w:b/>
                <w:bCs/>
                <w:szCs w:val="28"/>
                <w:lang w:val="en-US" w:eastAsia="zh-CN"/>
              </w:rPr>
              <w:t>52.3</w:t>
            </w:r>
          </w:p>
        </w:tc>
        <w:tc>
          <w:tcPr>
            <w:tcW w:w="0" w:type="auto"/>
          </w:tcPr>
          <w:p w14:paraId="751C22EF" w14:textId="633E1F96"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szCs w:val="28"/>
                <w:lang w:val="en-US" w:eastAsia="zh-CN"/>
              </w:rPr>
            </w:pPr>
            <w:r w:rsidRPr="00EB0567">
              <w:rPr>
                <w:rFonts w:cs="Arial"/>
                <w:b/>
                <w:bCs/>
                <w:szCs w:val="28"/>
                <w:lang w:val="en-US" w:eastAsia="zh-CN"/>
              </w:rPr>
              <w:t>48.9</w:t>
            </w:r>
          </w:p>
        </w:tc>
        <w:tc>
          <w:tcPr>
            <w:tcW w:w="0" w:type="auto"/>
          </w:tcPr>
          <w:p w14:paraId="53753178" w14:textId="38D8906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Cs w:val="28"/>
                <w:lang w:val="en-US" w:eastAsia="zh-CN"/>
              </w:rPr>
            </w:pPr>
            <w:r>
              <w:rPr>
                <w:rFonts w:cs="Arial"/>
                <w:szCs w:val="28"/>
                <w:lang w:val="en-US" w:eastAsia="zh-CN"/>
              </w:rPr>
              <w:t>37.6</w:t>
            </w:r>
          </w:p>
        </w:tc>
        <w:tc>
          <w:tcPr>
            <w:tcW w:w="0" w:type="auto"/>
          </w:tcPr>
          <w:p w14:paraId="51F7B22B" w14:textId="00652257"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EB0567">
              <w:rPr>
                <w:rFonts w:cs="Arial"/>
                <w:lang w:val="en-US" w:eastAsia="zh-CN"/>
              </w:rPr>
              <w:t>35.8</w:t>
            </w:r>
          </w:p>
        </w:tc>
      </w:tr>
      <w:tr w:rsidR="004573FE" w:rsidRPr="002A53BD" w14:paraId="181BCF06" w14:textId="77777777" w:rsidTr="004573FE">
        <w:trPr>
          <w:trHeight w:val="12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5C2E610" w14:textId="77777777" w:rsidR="004573FE" w:rsidRPr="00553DC9" w:rsidRDefault="004573FE" w:rsidP="004573FE">
            <w:pPr>
              <w:spacing w:before="0" w:after="0" w:line="240" w:lineRule="auto"/>
              <w:rPr>
                <w:rFonts w:cs="Arial"/>
                <w:lang w:val="en-US" w:eastAsia="zh-CN"/>
              </w:rPr>
            </w:pPr>
            <w:r w:rsidRPr="00553DC9">
              <w:rPr>
                <w:rFonts w:cs="Arial"/>
                <w:lang w:val="en-US" w:eastAsia="zh-CN"/>
              </w:rPr>
              <w:t>Percy Street</w:t>
            </w:r>
          </w:p>
        </w:tc>
        <w:tc>
          <w:tcPr>
            <w:tcW w:w="0" w:type="auto"/>
          </w:tcPr>
          <w:p w14:paraId="3100EA5A"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Percy Street CMS</w:t>
            </w:r>
          </w:p>
        </w:tc>
        <w:tc>
          <w:tcPr>
            <w:tcW w:w="0" w:type="auto"/>
            <w:vMerge w:val="restart"/>
          </w:tcPr>
          <w:p w14:paraId="0B2B3FD0"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424776</w:t>
            </w:r>
          </w:p>
        </w:tc>
        <w:tc>
          <w:tcPr>
            <w:tcW w:w="1343" w:type="dxa"/>
            <w:vMerge w:val="restart"/>
          </w:tcPr>
          <w:p w14:paraId="153BBC1F"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color w:val="000000"/>
              </w:rPr>
              <w:t xml:space="preserve">564861 </w:t>
            </w:r>
          </w:p>
        </w:tc>
        <w:tc>
          <w:tcPr>
            <w:tcW w:w="1388" w:type="dxa"/>
          </w:tcPr>
          <w:p w14:paraId="2FACB586" w14:textId="1B01B147" w:rsidR="004573FE" w:rsidRPr="00553DC9" w:rsidRDefault="004573FE" w:rsidP="004573FE">
            <w:pPr>
              <w:spacing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Pr>
                <w:rFonts w:cs="Arial"/>
                <w:lang w:val="en-US" w:eastAsia="zh-CN"/>
              </w:rPr>
              <w:t>34.2</w:t>
            </w:r>
          </w:p>
        </w:tc>
        <w:tc>
          <w:tcPr>
            <w:tcW w:w="0" w:type="auto"/>
          </w:tcPr>
          <w:p w14:paraId="0FBC9B5E" w14:textId="1D5BAC3C" w:rsidR="004573FE" w:rsidRPr="00553DC9" w:rsidRDefault="004573FE" w:rsidP="004573FE">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lang w:val="en-US" w:eastAsia="zh-CN"/>
              </w:rPr>
            </w:pPr>
            <w:r>
              <w:rPr>
                <w:rFonts w:cs="Arial"/>
                <w:lang w:val="en-US" w:eastAsia="zh-CN"/>
              </w:rPr>
              <w:t>36.5</w:t>
            </w:r>
          </w:p>
        </w:tc>
        <w:tc>
          <w:tcPr>
            <w:tcW w:w="0" w:type="auto"/>
          </w:tcPr>
          <w:p w14:paraId="51A115C7" w14:textId="094E7D50"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Pr>
                <w:rFonts w:cs="Arial"/>
                <w:lang w:val="en-US" w:eastAsia="zh-CN"/>
              </w:rPr>
              <w:t>37.1</w:t>
            </w:r>
          </w:p>
        </w:tc>
        <w:tc>
          <w:tcPr>
            <w:tcW w:w="0" w:type="auto"/>
          </w:tcPr>
          <w:p w14:paraId="2BCD48B6" w14:textId="511F533D"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Pr>
                <w:rFonts w:cs="Arial"/>
                <w:lang w:val="en-US" w:eastAsia="zh-CN"/>
              </w:rPr>
              <w:t>36.5</w:t>
            </w:r>
          </w:p>
        </w:tc>
        <w:tc>
          <w:tcPr>
            <w:tcW w:w="0" w:type="auto"/>
          </w:tcPr>
          <w:p w14:paraId="7D6B4AA6" w14:textId="1413F11C"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EB0567">
              <w:rPr>
                <w:rFonts w:cs="Arial"/>
                <w:lang w:val="en-US" w:eastAsia="zh-CN"/>
              </w:rPr>
              <w:t>34.7</w:t>
            </w:r>
          </w:p>
        </w:tc>
      </w:tr>
      <w:tr w:rsidR="004573FE" w:rsidRPr="002A53BD" w14:paraId="0C92A147" w14:textId="77777777" w:rsidTr="004573FE">
        <w:trPr>
          <w:trHeight w:val="128"/>
        </w:trPr>
        <w:tc>
          <w:tcPr>
            <w:cnfStyle w:val="001000000000" w:firstRow="0" w:lastRow="0" w:firstColumn="1" w:lastColumn="0" w:oddVBand="0" w:evenVBand="0" w:oddHBand="0" w:evenHBand="0" w:firstRowFirstColumn="0" w:firstRowLastColumn="0" w:lastRowFirstColumn="0" w:lastRowLastColumn="0"/>
            <w:tcW w:w="0" w:type="auto"/>
            <w:vMerge/>
          </w:tcPr>
          <w:p w14:paraId="7DE1D173" w14:textId="77777777" w:rsidR="004573FE" w:rsidRPr="00553DC9" w:rsidRDefault="004573FE" w:rsidP="004573FE">
            <w:pPr>
              <w:spacing w:before="0" w:after="0" w:line="240" w:lineRule="auto"/>
              <w:rPr>
                <w:rFonts w:cs="Arial"/>
                <w:lang w:val="en-US" w:eastAsia="zh-CN"/>
              </w:rPr>
            </w:pPr>
          </w:p>
        </w:tc>
        <w:tc>
          <w:tcPr>
            <w:tcW w:w="0" w:type="auto"/>
          </w:tcPr>
          <w:p w14:paraId="5B2D126D"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553DC9">
              <w:rPr>
                <w:rFonts w:cs="Arial"/>
                <w:lang w:val="en-US" w:eastAsia="zh-CN"/>
              </w:rPr>
              <w:t>DT29, DT30, DT31</w:t>
            </w:r>
          </w:p>
        </w:tc>
        <w:tc>
          <w:tcPr>
            <w:tcW w:w="0" w:type="auto"/>
            <w:vMerge/>
          </w:tcPr>
          <w:p w14:paraId="6B28BDEE"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343" w:type="dxa"/>
            <w:vMerge/>
          </w:tcPr>
          <w:p w14:paraId="150B479A" w14:textId="7777777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1388" w:type="dxa"/>
          </w:tcPr>
          <w:p w14:paraId="6CC6A766" w14:textId="26CE3A28" w:rsidR="004573FE" w:rsidRPr="00553DC9" w:rsidRDefault="004573FE" w:rsidP="004573FE">
            <w:pPr>
              <w:spacing w:line="240" w:lineRule="auto"/>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34.6</w:t>
            </w:r>
          </w:p>
        </w:tc>
        <w:tc>
          <w:tcPr>
            <w:tcW w:w="0" w:type="auto"/>
          </w:tcPr>
          <w:p w14:paraId="1C10E6B3" w14:textId="110557C7"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eastAsia="en-GB"/>
              </w:rPr>
            </w:pPr>
            <w:r>
              <w:rPr>
                <w:rFonts w:cs="Arial"/>
                <w:b/>
                <w:bCs/>
                <w:lang w:eastAsia="en-GB"/>
              </w:rPr>
              <w:t>43.1</w:t>
            </w:r>
          </w:p>
        </w:tc>
        <w:tc>
          <w:tcPr>
            <w:tcW w:w="0" w:type="auto"/>
          </w:tcPr>
          <w:p w14:paraId="4F6F1135" w14:textId="23540286" w:rsidR="004573FE" w:rsidRPr="00553DC9"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b/>
                <w:bCs/>
                <w:lang w:eastAsia="en-GB"/>
              </w:rPr>
            </w:pPr>
            <w:r>
              <w:rPr>
                <w:rFonts w:cs="Arial"/>
                <w:b/>
                <w:bCs/>
                <w:lang w:eastAsia="en-GB"/>
              </w:rPr>
              <w:t>44.8</w:t>
            </w:r>
          </w:p>
        </w:tc>
        <w:tc>
          <w:tcPr>
            <w:tcW w:w="0" w:type="auto"/>
          </w:tcPr>
          <w:p w14:paraId="72F3F039" w14:textId="3F213DA6"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39.1</w:t>
            </w:r>
          </w:p>
        </w:tc>
        <w:tc>
          <w:tcPr>
            <w:tcW w:w="0" w:type="auto"/>
          </w:tcPr>
          <w:p w14:paraId="1353AFF9" w14:textId="2524753F" w:rsidR="004573FE" w:rsidRPr="00EB0567" w:rsidRDefault="004573FE" w:rsidP="004573FE">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EB0567">
              <w:rPr>
                <w:rFonts w:cs="Arial"/>
                <w:lang w:val="en-US" w:eastAsia="zh-CN"/>
              </w:rPr>
              <w:t>33.0</w:t>
            </w:r>
          </w:p>
        </w:tc>
      </w:tr>
      <w:tr w:rsidR="004573FE" w:rsidRPr="002A53BD" w14:paraId="7D152252" w14:textId="77777777" w:rsidTr="00D8513A">
        <w:trPr>
          <w:trHeight w:val="70"/>
        </w:trPr>
        <w:tc>
          <w:tcPr>
            <w:cnfStyle w:val="001000000000" w:firstRow="0" w:lastRow="0" w:firstColumn="1" w:lastColumn="0" w:oddVBand="0" w:evenVBand="0" w:oddHBand="0" w:evenHBand="0" w:firstRowFirstColumn="0" w:firstRowLastColumn="0" w:lastRowFirstColumn="0" w:lastRowLastColumn="0"/>
            <w:tcW w:w="0" w:type="auto"/>
            <w:gridSpan w:val="9"/>
          </w:tcPr>
          <w:p w14:paraId="27A19671" w14:textId="4E68F70F" w:rsidR="004573FE" w:rsidRPr="00553DC9" w:rsidRDefault="004573FE" w:rsidP="004573FE">
            <w:pPr>
              <w:spacing w:before="0" w:after="0" w:line="240" w:lineRule="auto"/>
              <w:jc w:val="left"/>
            </w:pPr>
            <w:r w:rsidRPr="00553DC9">
              <w:rPr>
                <w:b/>
                <w:bCs/>
              </w:rPr>
              <w:t>Bold</w:t>
            </w:r>
            <w:r w:rsidRPr="00553DC9">
              <w:t xml:space="preserve"> text denotes exceedance of annual mean objective</w:t>
            </w:r>
          </w:p>
        </w:tc>
      </w:tr>
    </w:tbl>
    <w:p w14:paraId="1846C041" w14:textId="6CB95290" w:rsidR="008F5866" w:rsidRDefault="008F5866" w:rsidP="008F5866">
      <w:r>
        <w:t>Therefore, the remaining sites that are within 10% of the annual mean objective (&gt;36 µg/m</w:t>
      </w:r>
      <w:r w:rsidRPr="008F5866">
        <w:rPr>
          <w:vertAlign w:val="superscript"/>
        </w:rPr>
        <w:t>3</w:t>
      </w:r>
      <w:r>
        <w:t xml:space="preserve"> and &lt;40 µg/m</w:t>
      </w:r>
      <w:r w:rsidRPr="008F5866">
        <w:rPr>
          <w:vertAlign w:val="superscript"/>
        </w:rPr>
        <w:t>3</w:t>
      </w:r>
      <w:r>
        <w:t>) or above annual mean objective (&gt;40 µg/m</w:t>
      </w:r>
      <w:r w:rsidRPr="008F5866">
        <w:rPr>
          <w:vertAlign w:val="superscript"/>
        </w:rPr>
        <w:t>3</w:t>
      </w:r>
      <w:r>
        <w:t>)</w:t>
      </w:r>
      <w:r w:rsidR="00F23334">
        <w:t xml:space="preserve"> in 2024</w:t>
      </w:r>
      <w:r>
        <w:t xml:space="preserve"> are listed below:</w:t>
      </w:r>
    </w:p>
    <w:p w14:paraId="6D4A325C" w14:textId="0E6A9AE1" w:rsidR="008F5866" w:rsidRPr="00EF1526" w:rsidRDefault="008F5866" w:rsidP="00E351DA">
      <w:pPr>
        <w:pStyle w:val="ListParagraph"/>
        <w:numPr>
          <w:ilvl w:val="0"/>
          <w:numId w:val="21"/>
        </w:numPr>
      </w:pPr>
      <w:r>
        <w:t xml:space="preserve">DT8 (10 Market Street) </w:t>
      </w:r>
      <w:r w:rsidR="00EF1526">
        <w:t>with 38</w:t>
      </w:r>
      <w:r w:rsidR="00EF1526" w:rsidRPr="00EF1526">
        <w:t xml:space="preserve">.5 </w:t>
      </w:r>
      <w:r w:rsidR="00EF1526" w:rsidRPr="00EF1526">
        <w:rPr>
          <w:rFonts w:eastAsia="Arial" w:cs="Arial"/>
          <w:kern w:val="18"/>
          <w:lang w:val="en-IE"/>
        </w:rPr>
        <w:t>µg/m</w:t>
      </w:r>
      <w:r w:rsidR="00EF1526" w:rsidRPr="00EF1526">
        <w:rPr>
          <w:rFonts w:eastAsia="Arial" w:cs="Arial"/>
          <w:kern w:val="18"/>
          <w:vertAlign w:val="superscript"/>
          <w:lang w:val="en-IE"/>
        </w:rPr>
        <w:t>3</w:t>
      </w:r>
      <w:r w:rsidR="00EF1526" w:rsidRPr="00EF1526">
        <w:t xml:space="preserve"> </w:t>
      </w:r>
    </w:p>
    <w:p w14:paraId="273D74FD" w14:textId="5067174F" w:rsidR="008F5866" w:rsidRPr="00EF1526" w:rsidRDefault="008F5866" w:rsidP="00E351DA">
      <w:pPr>
        <w:pStyle w:val="ListParagraph"/>
        <w:numPr>
          <w:ilvl w:val="0"/>
          <w:numId w:val="21"/>
        </w:numPr>
      </w:pPr>
      <w:r w:rsidRPr="00EF1526">
        <w:t>Triplicate site DT5, DT115 and DT116 (St Mary’s Place)</w:t>
      </w:r>
      <w:r w:rsidR="00EF1526" w:rsidRPr="00EF1526">
        <w:t xml:space="preserve"> with 36.3 </w:t>
      </w:r>
      <w:r w:rsidR="00EF1526" w:rsidRPr="00EF1526">
        <w:rPr>
          <w:rFonts w:eastAsia="Arial" w:cs="Arial"/>
          <w:kern w:val="18"/>
          <w:lang w:val="en-IE"/>
        </w:rPr>
        <w:t>µg/m</w:t>
      </w:r>
      <w:r w:rsidR="00EF1526" w:rsidRPr="00EF1526">
        <w:rPr>
          <w:rFonts w:eastAsia="Arial" w:cs="Arial"/>
          <w:kern w:val="18"/>
          <w:vertAlign w:val="superscript"/>
          <w:lang w:val="en-IE"/>
        </w:rPr>
        <w:t>3</w:t>
      </w:r>
      <w:r w:rsidR="00EF1526" w:rsidRPr="00EF1526">
        <w:t xml:space="preserve"> </w:t>
      </w:r>
    </w:p>
    <w:p w14:paraId="388B83CF" w14:textId="7F39FA9B" w:rsidR="008B6778" w:rsidRDefault="008B6778" w:rsidP="008F5866">
      <w:r>
        <w:t>As stated above, the elevated concentrations at both these sites are closely associated with bus emissions.</w:t>
      </w:r>
    </w:p>
    <w:p w14:paraId="25A43B78" w14:textId="01446962" w:rsidR="00F60C12" w:rsidRDefault="00F60C12" w:rsidP="008F5866">
      <w:r>
        <w:t>Due to the uncertainty inherent in diffusion tube monitoring methods, concentrations within 10% of the annual mean objective are not considered compliant for LAQM purposes, therefore, Newcastle was not considered to be compliant with the annual mean objective for NO</w:t>
      </w:r>
      <w:r w:rsidRPr="00D04771">
        <w:rPr>
          <w:vertAlign w:val="subscript"/>
        </w:rPr>
        <w:t>2</w:t>
      </w:r>
      <w:r>
        <w:t xml:space="preserve"> in 2024.</w:t>
      </w:r>
    </w:p>
    <w:p w14:paraId="3F4D4336" w14:textId="74A875A5" w:rsidR="00553DC9" w:rsidRDefault="00553DC9" w:rsidP="008F5866">
      <w:r>
        <w:lastRenderedPageBreak/>
        <w:t xml:space="preserve">From </w:t>
      </w:r>
      <w:r w:rsidR="00CA23D1">
        <w:t>20</w:t>
      </w:r>
      <w:r w:rsidR="00F47C07">
        <w:t xml:space="preserve">19 </w:t>
      </w:r>
      <w:r w:rsidR="00CA23D1">
        <w:t xml:space="preserve">to 2024, Newcastle </w:t>
      </w:r>
      <w:r w:rsidR="007F6525">
        <w:t xml:space="preserve">followed the UK downward trend in annual </w:t>
      </w:r>
      <w:r w:rsidR="007F6525" w:rsidRPr="00403F96">
        <w:t xml:space="preserve">mean </w:t>
      </w:r>
      <w:r w:rsidR="007F6525" w:rsidRPr="00403F96">
        <w:rPr>
          <w:rFonts w:eastAsia="Arial" w:cs="Arial"/>
          <w:kern w:val="18"/>
          <w:lang w:val="en-IE"/>
        </w:rPr>
        <w:t>NO</w:t>
      </w:r>
      <w:r w:rsidR="007F6525" w:rsidRPr="00403F96">
        <w:rPr>
          <w:rFonts w:eastAsia="Arial" w:cs="Arial"/>
          <w:kern w:val="18"/>
          <w:vertAlign w:val="subscript"/>
          <w:lang w:val="en-IE"/>
        </w:rPr>
        <w:t>2</w:t>
      </w:r>
      <w:r w:rsidR="007F6525" w:rsidRPr="00403F96">
        <w:t xml:space="preserve"> concentrations for urban background</w:t>
      </w:r>
      <w:r w:rsidR="00F47C07">
        <w:t xml:space="preserve"> and roadside</w:t>
      </w:r>
      <w:r w:rsidR="007F6525" w:rsidRPr="00403F96">
        <w:t xml:space="preserve"> sites, with an average reduction of </w:t>
      </w:r>
      <w:r w:rsidR="00F47C07">
        <w:t>46.4</w:t>
      </w:r>
      <w:r w:rsidR="007F6525" w:rsidRPr="00403F96">
        <w:t>%</w:t>
      </w:r>
      <w:r w:rsidR="00F47C07">
        <w:t xml:space="preserve"> and 43.1%, respectively, as shown </w:t>
      </w:r>
      <w:r w:rsidR="007F6525">
        <w:t>in</w:t>
      </w:r>
      <w:r w:rsidR="001826D2">
        <w:t xml:space="preserve"> </w:t>
      </w:r>
      <w:r w:rsidR="001826D2">
        <w:fldChar w:fldCharType="begin"/>
      </w:r>
      <w:r w:rsidR="001826D2">
        <w:instrText xml:space="preserve"> REF _Ref209771491 \h </w:instrText>
      </w:r>
      <w:r w:rsidR="001826D2">
        <w:fldChar w:fldCharType="separate"/>
      </w:r>
      <w:r w:rsidR="001826D2">
        <w:t xml:space="preserve">Figure </w:t>
      </w:r>
      <w:r w:rsidR="001826D2">
        <w:rPr>
          <w:noProof/>
        </w:rPr>
        <w:t>2</w:t>
      </w:r>
      <w:r w:rsidR="001826D2">
        <w:t>.</w:t>
      </w:r>
      <w:r w:rsidR="001826D2">
        <w:rPr>
          <w:noProof/>
        </w:rPr>
        <w:t>3</w:t>
      </w:r>
      <w:r w:rsidR="001826D2">
        <w:fldChar w:fldCharType="end"/>
      </w:r>
      <w:r w:rsidR="001826D2">
        <w:t>.</w:t>
      </w:r>
    </w:p>
    <w:p w14:paraId="7C2FC6FF" w14:textId="1069938C" w:rsidR="008F5866" w:rsidRDefault="00F47C07" w:rsidP="0005447E">
      <w:r>
        <w:rPr>
          <w:noProof/>
        </w:rPr>
        <w:drawing>
          <wp:inline distT="0" distB="0" distL="0" distR="0" wp14:anchorId="73C4BC00" wp14:editId="7E90DF16">
            <wp:extent cx="5600700" cy="2819400"/>
            <wp:effectExtent l="0" t="0" r="0" b="0"/>
            <wp:docPr id="989064371" name="Chart 1">
              <a:extLst xmlns:a="http://schemas.openxmlformats.org/drawingml/2006/main">
                <a:ext uri="{FF2B5EF4-FFF2-40B4-BE49-F238E27FC236}">
                  <a16:creationId xmlns:a16="http://schemas.microsoft.com/office/drawing/2014/main" id="{4204AFCD-876E-37AE-C606-3C7D4EB5E4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D94E95E" w14:textId="5E6D1F8B" w:rsidR="001826D2" w:rsidRPr="001826D2" w:rsidRDefault="001826D2" w:rsidP="001826D2">
      <w:pPr>
        <w:pStyle w:val="Caption"/>
      </w:pPr>
      <w:bookmarkStart w:id="28" w:name="_Ref209771491"/>
      <w:bookmarkStart w:id="29" w:name="_Toc222131915"/>
      <w:bookmarkStart w:id="30" w:name="_Hlk203461655"/>
      <w:r>
        <w:t xml:space="preserve">Figure </w:t>
      </w:r>
      <w:r w:rsidR="00946EE5">
        <w:fldChar w:fldCharType="begin"/>
      </w:r>
      <w:r w:rsidR="00946EE5">
        <w:instrText xml:space="preserve"> STYLEREF 1 \s </w:instrText>
      </w:r>
      <w:r w:rsidR="00946EE5">
        <w:fldChar w:fldCharType="separate"/>
      </w:r>
      <w:r w:rsidR="00946EE5">
        <w:rPr>
          <w:noProof/>
        </w:rPr>
        <w:t>2</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3</w:t>
      </w:r>
      <w:r w:rsidR="00946EE5">
        <w:fldChar w:fldCharType="end"/>
      </w:r>
      <w:bookmarkEnd w:id="28"/>
      <w:r>
        <w:t xml:space="preserve"> - </w:t>
      </w:r>
      <w:r w:rsidRPr="002D6860">
        <w:t>Annual Mean NO</w:t>
      </w:r>
      <w:r w:rsidRPr="002D6860">
        <w:rPr>
          <w:vertAlign w:val="subscript"/>
        </w:rPr>
        <w:t>2</w:t>
      </w:r>
      <w:r w:rsidRPr="002D6860">
        <w:t xml:space="preserve"> Concentration Trends at all Monitoring Sites in Newcastle 20</w:t>
      </w:r>
      <w:r>
        <w:t>19</w:t>
      </w:r>
      <w:r w:rsidRPr="002D6860">
        <w:t xml:space="preserve"> – 2024</w:t>
      </w:r>
      <w:bookmarkEnd w:id="29"/>
    </w:p>
    <w:bookmarkEnd w:id="30"/>
    <w:p w14:paraId="05219AF5" w14:textId="6A7520F7" w:rsidR="007F6525" w:rsidRPr="00D04771" w:rsidRDefault="00F82E10" w:rsidP="0005447E">
      <w:pPr>
        <w:rPr>
          <w:rFonts w:cs="Arial"/>
          <w:lang w:eastAsia="zh-CN"/>
        </w:rPr>
      </w:pPr>
      <w:r>
        <w:t>Since 20</w:t>
      </w:r>
      <w:r w:rsidR="00741E29">
        <w:t>19</w:t>
      </w:r>
      <w:r>
        <w:t xml:space="preserve">, </w:t>
      </w:r>
      <w:r w:rsidR="00E05521">
        <w:t>all</w:t>
      </w:r>
      <w:r>
        <w:t xml:space="preserve"> </w:t>
      </w:r>
      <w:r w:rsidR="00802EE6">
        <w:t>6</w:t>
      </w:r>
      <w:r w:rsidR="00E05521">
        <w:t>4</w:t>
      </w:r>
      <w:r>
        <w:t xml:space="preserve"> monitoring locations in Newcastle have followed the UK trend and have observed </w:t>
      </w:r>
      <w:r w:rsidR="00E05521">
        <w:t>decreases</w:t>
      </w:r>
      <w:r>
        <w:t xml:space="preserve"> in annual mean </w:t>
      </w:r>
      <w:r w:rsidRPr="00F82E10">
        <w:rPr>
          <w:rFonts w:eastAsia="Arial" w:cs="Arial"/>
          <w:kern w:val="18"/>
          <w:lang w:val="en-IE"/>
        </w:rPr>
        <w:t>NO</w:t>
      </w:r>
      <w:r w:rsidRPr="00F82E10">
        <w:rPr>
          <w:rFonts w:eastAsia="Arial" w:cs="Arial"/>
          <w:kern w:val="18"/>
          <w:vertAlign w:val="subscript"/>
          <w:lang w:val="en-IE"/>
        </w:rPr>
        <w:t>2</w:t>
      </w:r>
      <w:r w:rsidRPr="00F82E10">
        <w:t xml:space="preserve"> concentrations</w:t>
      </w:r>
      <w:r>
        <w:t xml:space="preserve"> at urban</w:t>
      </w:r>
      <w:r w:rsidR="00E05521">
        <w:t xml:space="preserve"> background and</w:t>
      </w:r>
      <w:r>
        <w:t xml:space="preserve"> roadside sites.</w:t>
      </w:r>
      <w:r w:rsidR="004573FE">
        <w:t xml:space="preserve"> </w:t>
      </w:r>
      <w:r w:rsidR="00E05521">
        <w:rPr>
          <w:rFonts w:cs="Arial"/>
          <w:lang w:eastAsia="zh-CN"/>
        </w:rPr>
        <w:t xml:space="preserve">The biggest average decrease of 60.6% was observed at </w:t>
      </w:r>
      <w:r w:rsidR="00E05521" w:rsidRPr="00E05521">
        <w:rPr>
          <w:rFonts w:cs="Arial"/>
          <w:lang w:eastAsia="zh-CN"/>
        </w:rPr>
        <w:t>DT25, DT127, DT128</w:t>
      </w:r>
      <w:r w:rsidR="00E05521">
        <w:rPr>
          <w:rFonts w:cs="Arial"/>
          <w:lang w:eastAsia="zh-CN"/>
        </w:rPr>
        <w:t xml:space="preserve"> (located at </w:t>
      </w:r>
      <w:r w:rsidR="00005B24">
        <w:rPr>
          <w:rFonts w:cs="Arial"/>
          <w:lang w:eastAsia="zh-CN"/>
        </w:rPr>
        <w:t>Strawberry Place within AQMA 1b</w:t>
      </w:r>
      <w:r w:rsidR="00FF57F7">
        <w:rPr>
          <w:rFonts w:cs="Arial"/>
          <w:lang w:eastAsia="zh-CN"/>
        </w:rPr>
        <w:t xml:space="preserve"> (city centre)</w:t>
      </w:r>
      <w:r w:rsidR="00005B24">
        <w:rPr>
          <w:rFonts w:cs="Arial"/>
          <w:lang w:eastAsia="zh-CN"/>
        </w:rPr>
        <w:t xml:space="preserve">). The lowest average decrease of 20.8% was observed at the automatic monitor at Percy Street. </w:t>
      </w:r>
    </w:p>
    <w:p w14:paraId="5CA89AC2" w14:textId="1FEDE4DC" w:rsidR="008C1ADB" w:rsidRDefault="008C1ADB" w:rsidP="008C1ADB">
      <w:r w:rsidRPr="00E60A62">
        <w:t>Overall, it seems that there was a significant reduction in NO</w:t>
      </w:r>
      <w:r w:rsidRPr="00E60A62">
        <w:rPr>
          <w:vertAlign w:val="subscript"/>
        </w:rPr>
        <w:t>2</w:t>
      </w:r>
      <w:r w:rsidRPr="00E60A62">
        <w:t xml:space="preserve"> concentrations when the Covid-19 restrictions were in place in 2020. Since then, NO</w:t>
      </w:r>
      <w:r w:rsidRPr="00E60A62">
        <w:rPr>
          <w:vertAlign w:val="subscript"/>
        </w:rPr>
        <w:t>2</w:t>
      </w:r>
      <w:r w:rsidRPr="00E60A62">
        <w:t xml:space="preserve"> concentrations have increased from these low concentrations, </w:t>
      </w:r>
      <w:r w:rsidR="00AE681C">
        <w:t>but</w:t>
      </w:r>
      <w:r w:rsidRPr="00E60A62">
        <w:t xml:space="preserve"> have not returned to pre-pandemic concentrations. </w:t>
      </w:r>
      <w:r>
        <w:t xml:space="preserve">The introduction of the CAZ in 2023 has also likely contributed to decreases in pollutant concentrations. </w:t>
      </w:r>
    </w:p>
    <w:p w14:paraId="4F467897" w14:textId="4874D678" w:rsidR="00BE1490" w:rsidRDefault="00BE1490" w:rsidP="008C1ADB">
      <w:r w:rsidRPr="003867B2">
        <w:t xml:space="preserve">Within the AQMA No. 1b (city centre), the monitored </w:t>
      </w:r>
      <w:r w:rsidRPr="003867B2">
        <w:rPr>
          <w:rFonts w:cs="Arial"/>
          <w:lang w:val="en-IE"/>
        </w:rPr>
        <w:t>PM</w:t>
      </w:r>
      <w:r w:rsidRPr="003867B2">
        <w:rPr>
          <w:rFonts w:cs="Arial"/>
          <w:vertAlign w:val="subscript"/>
          <w:lang w:val="en-IE"/>
        </w:rPr>
        <w:t>10</w:t>
      </w:r>
      <w:r w:rsidRPr="003867B2">
        <w:t xml:space="preserve"> concentrations at two automatic monitors range from </w:t>
      </w:r>
      <w:r w:rsidR="000E2AE2" w:rsidRPr="003867B2">
        <w:t xml:space="preserve">10.7 </w:t>
      </w:r>
      <w:r w:rsidR="000E2AE2" w:rsidRPr="003867B2">
        <w:rPr>
          <w:rFonts w:eastAsia="Arial" w:cs="Arial"/>
          <w:kern w:val="18"/>
          <w:lang w:val="en-IE"/>
        </w:rPr>
        <w:t>µg/m</w:t>
      </w:r>
      <w:r w:rsidR="000E2AE2" w:rsidRPr="003867B2">
        <w:rPr>
          <w:rFonts w:eastAsia="Arial" w:cs="Arial"/>
          <w:kern w:val="18"/>
          <w:vertAlign w:val="superscript"/>
          <w:lang w:val="en-IE"/>
        </w:rPr>
        <w:t>3</w:t>
      </w:r>
      <w:r w:rsidR="000E2AE2" w:rsidRPr="003867B2">
        <w:t xml:space="preserve"> to </w:t>
      </w:r>
      <w:r w:rsidR="00FF57F7">
        <w:t>16.2</w:t>
      </w:r>
      <w:r w:rsidR="000E2AE2" w:rsidRPr="003867B2">
        <w:t xml:space="preserve"> </w:t>
      </w:r>
      <w:r w:rsidR="000E2AE2" w:rsidRPr="003867B2">
        <w:rPr>
          <w:rFonts w:eastAsia="Arial" w:cs="Arial"/>
          <w:kern w:val="18"/>
          <w:lang w:val="en-IE"/>
        </w:rPr>
        <w:t>µg/m</w:t>
      </w:r>
      <w:r w:rsidR="000E2AE2" w:rsidRPr="003867B2">
        <w:rPr>
          <w:rFonts w:eastAsia="Arial" w:cs="Arial"/>
          <w:kern w:val="18"/>
          <w:vertAlign w:val="superscript"/>
          <w:lang w:val="en-IE"/>
        </w:rPr>
        <w:t>3</w:t>
      </w:r>
      <w:r w:rsidR="000E2AE2" w:rsidRPr="003867B2">
        <w:t xml:space="preserve"> from 20</w:t>
      </w:r>
      <w:r w:rsidR="00FF57F7">
        <w:t>19</w:t>
      </w:r>
      <w:r w:rsidR="000E2AE2" w:rsidRPr="003867B2">
        <w:t xml:space="preserve"> – 2024, as shown in </w:t>
      </w:r>
      <w:r w:rsidR="001826D2">
        <w:fldChar w:fldCharType="begin"/>
      </w:r>
      <w:r w:rsidR="001826D2">
        <w:instrText xml:space="preserve"> REF _Ref209771540 \h </w:instrText>
      </w:r>
      <w:r w:rsidR="001826D2">
        <w:fldChar w:fldCharType="separate"/>
      </w:r>
      <w:r w:rsidR="001826D2">
        <w:t xml:space="preserve">Figure </w:t>
      </w:r>
      <w:r w:rsidR="001826D2">
        <w:rPr>
          <w:noProof/>
        </w:rPr>
        <w:t>2</w:t>
      </w:r>
      <w:r w:rsidR="001826D2">
        <w:t>.</w:t>
      </w:r>
      <w:r w:rsidR="001826D2">
        <w:rPr>
          <w:noProof/>
        </w:rPr>
        <w:t>4</w:t>
      </w:r>
      <w:r w:rsidR="001826D2">
        <w:fldChar w:fldCharType="end"/>
      </w:r>
      <w:r w:rsidR="000E2AE2" w:rsidRPr="003867B2">
        <w:t xml:space="preserve">. This is well below the annual mean </w:t>
      </w:r>
      <w:r w:rsidR="000E2AE2" w:rsidRPr="003867B2">
        <w:rPr>
          <w:rFonts w:cs="Arial"/>
          <w:lang w:val="en-IE"/>
        </w:rPr>
        <w:t>PM</w:t>
      </w:r>
      <w:r w:rsidR="000E2AE2" w:rsidRPr="003867B2">
        <w:rPr>
          <w:rFonts w:cs="Arial"/>
          <w:vertAlign w:val="subscript"/>
          <w:lang w:val="en-IE"/>
        </w:rPr>
        <w:t>10</w:t>
      </w:r>
      <w:r w:rsidR="000E2AE2" w:rsidRPr="003867B2">
        <w:t xml:space="preserve"> objective of 40 </w:t>
      </w:r>
      <w:r w:rsidR="000E2AE2" w:rsidRPr="003867B2">
        <w:rPr>
          <w:rFonts w:eastAsia="Arial" w:cs="Arial"/>
          <w:kern w:val="18"/>
          <w:lang w:val="en-IE"/>
        </w:rPr>
        <w:t>µg/m</w:t>
      </w:r>
      <w:r w:rsidR="000E2AE2" w:rsidRPr="003867B2">
        <w:rPr>
          <w:rFonts w:eastAsia="Arial" w:cs="Arial"/>
          <w:kern w:val="18"/>
          <w:vertAlign w:val="superscript"/>
          <w:lang w:val="en-IE"/>
        </w:rPr>
        <w:t>3</w:t>
      </w:r>
      <w:r w:rsidR="000E2AE2" w:rsidRPr="003867B2">
        <w:t xml:space="preserve">. </w:t>
      </w:r>
      <w:r w:rsidR="003867B2" w:rsidRPr="003867B2">
        <w:t xml:space="preserve">Similarly, the monitored </w:t>
      </w:r>
      <w:r w:rsidR="003867B2" w:rsidRPr="003867B2">
        <w:rPr>
          <w:rFonts w:cs="Arial"/>
          <w:lang w:val="en-IE"/>
        </w:rPr>
        <w:t>PM</w:t>
      </w:r>
      <w:r w:rsidR="003867B2" w:rsidRPr="003867B2">
        <w:rPr>
          <w:rFonts w:cs="Arial"/>
          <w:vertAlign w:val="subscript"/>
          <w:lang w:val="en-IE"/>
        </w:rPr>
        <w:t>2.5</w:t>
      </w:r>
      <w:r w:rsidR="003867B2" w:rsidRPr="003867B2">
        <w:t xml:space="preserve"> concentrations range from 5.5 </w:t>
      </w:r>
      <w:r w:rsidR="003867B2" w:rsidRPr="003867B2">
        <w:rPr>
          <w:rFonts w:eastAsia="Arial" w:cs="Arial"/>
          <w:kern w:val="18"/>
          <w:lang w:val="en-IE"/>
        </w:rPr>
        <w:t>µg/m</w:t>
      </w:r>
      <w:r w:rsidR="003867B2" w:rsidRPr="003867B2">
        <w:rPr>
          <w:rFonts w:eastAsia="Arial" w:cs="Arial"/>
          <w:kern w:val="18"/>
          <w:vertAlign w:val="superscript"/>
          <w:lang w:val="en-IE"/>
        </w:rPr>
        <w:t>3</w:t>
      </w:r>
      <w:r w:rsidR="003867B2" w:rsidRPr="003867B2">
        <w:t xml:space="preserve"> to 7.</w:t>
      </w:r>
      <w:r w:rsidR="00FF57F7">
        <w:t>4</w:t>
      </w:r>
      <w:r w:rsidR="003867B2" w:rsidRPr="003867B2">
        <w:t xml:space="preserve"> </w:t>
      </w:r>
      <w:r w:rsidR="003867B2" w:rsidRPr="003867B2">
        <w:rPr>
          <w:rFonts w:eastAsia="Arial" w:cs="Arial"/>
          <w:kern w:val="18"/>
          <w:lang w:val="en-IE"/>
        </w:rPr>
        <w:t>µg/m</w:t>
      </w:r>
      <w:r w:rsidR="003867B2" w:rsidRPr="003867B2">
        <w:rPr>
          <w:rFonts w:eastAsia="Arial" w:cs="Arial"/>
          <w:kern w:val="18"/>
          <w:vertAlign w:val="superscript"/>
          <w:lang w:val="en-IE"/>
        </w:rPr>
        <w:t>3</w:t>
      </w:r>
      <w:r w:rsidR="003867B2" w:rsidRPr="003867B2">
        <w:t xml:space="preserve"> across the same time period, as shown in </w:t>
      </w:r>
      <w:r w:rsidR="001826D2">
        <w:fldChar w:fldCharType="begin"/>
      </w:r>
      <w:r w:rsidR="001826D2">
        <w:instrText xml:space="preserve"> REF _Ref209771570 \h </w:instrText>
      </w:r>
      <w:r w:rsidR="001826D2">
        <w:fldChar w:fldCharType="separate"/>
      </w:r>
      <w:r w:rsidR="001826D2">
        <w:t xml:space="preserve">Figure </w:t>
      </w:r>
      <w:r w:rsidR="001826D2">
        <w:rPr>
          <w:noProof/>
        </w:rPr>
        <w:t>2</w:t>
      </w:r>
      <w:r w:rsidR="001826D2">
        <w:t>.</w:t>
      </w:r>
      <w:r w:rsidR="001826D2">
        <w:rPr>
          <w:noProof/>
        </w:rPr>
        <w:t>5</w:t>
      </w:r>
      <w:r w:rsidR="001826D2">
        <w:fldChar w:fldCharType="end"/>
      </w:r>
      <w:r w:rsidR="003867B2" w:rsidRPr="003867B2">
        <w:t xml:space="preserve">. These concentrations are also </w:t>
      </w:r>
      <w:r w:rsidR="003867B2" w:rsidRPr="003867B2">
        <w:lastRenderedPageBreak/>
        <w:t xml:space="preserve">below the annual mean </w:t>
      </w:r>
      <w:r w:rsidR="003867B2" w:rsidRPr="003867B2">
        <w:rPr>
          <w:rFonts w:cs="Arial"/>
          <w:lang w:val="en-IE"/>
        </w:rPr>
        <w:t>PM</w:t>
      </w:r>
      <w:r w:rsidR="003867B2" w:rsidRPr="003867B2">
        <w:rPr>
          <w:rFonts w:cs="Arial"/>
          <w:vertAlign w:val="subscript"/>
          <w:lang w:val="en-IE"/>
        </w:rPr>
        <w:t>2.5</w:t>
      </w:r>
      <w:r w:rsidR="003867B2" w:rsidRPr="003867B2">
        <w:t xml:space="preserve"> target value of 10 </w:t>
      </w:r>
      <w:r w:rsidR="003867B2" w:rsidRPr="003867B2">
        <w:rPr>
          <w:rFonts w:eastAsia="Arial" w:cs="Arial"/>
          <w:kern w:val="18"/>
          <w:lang w:val="en-IE"/>
        </w:rPr>
        <w:t>µg/m</w:t>
      </w:r>
      <w:r w:rsidR="003867B2" w:rsidRPr="003867B2">
        <w:rPr>
          <w:rFonts w:eastAsia="Arial" w:cs="Arial"/>
          <w:kern w:val="18"/>
          <w:vertAlign w:val="superscript"/>
          <w:lang w:val="en-IE"/>
        </w:rPr>
        <w:t>3</w:t>
      </w:r>
      <w:r w:rsidR="003867B2" w:rsidRPr="003867B2">
        <w:t xml:space="preserve"> by 2040. However, it is widely recognised that there is no safe level of particulate pollution and health impacts are expected even below these values. </w:t>
      </w:r>
    </w:p>
    <w:p w14:paraId="1578F701" w14:textId="76756E47" w:rsidR="008C1ADB" w:rsidRDefault="00FF57F7" w:rsidP="0005447E">
      <w:r>
        <w:rPr>
          <w:noProof/>
        </w:rPr>
        <w:drawing>
          <wp:inline distT="0" distB="0" distL="0" distR="0" wp14:anchorId="55B4EBE6" wp14:editId="3BE037AD">
            <wp:extent cx="5692140" cy="3611880"/>
            <wp:effectExtent l="0" t="0" r="3810" b="7620"/>
            <wp:docPr id="1071437725" name="Chart 1">
              <a:extLst xmlns:a="http://schemas.openxmlformats.org/drawingml/2006/main">
                <a:ext uri="{FF2B5EF4-FFF2-40B4-BE49-F238E27FC236}">
                  <a16:creationId xmlns:a16="http://schemas.microsoft.com/office/drawing/2014/main" id="{20F87828-3E60-CFA1-8FAF-4EB73002A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C39635A" w14:textId="3FF43D39" w:rsidR="001826D2" w:rsidRPr="001826D2" w:rsidRDefault="001826D2" w:rsidP="001826D2">
      <w:pPr>
        <w:pStyle w:val="Caption"/>
      </w:pPr>
      <w:bookmarkStart w:id="31" w:name="_Ref209771540"/>
      <w:bookmarkStart w:id="32" w:name="_Toc222131916"/>
      <w:r>
        <w:t xml:space="preserve">Figure </w:t>
      </w:r>
      <w:r w:rsidR="00946EE5">
        <w:fldChar w:fldCharType="begin"/>
      </w:r>
      <w:r w:rsidR="00946EE5">
        <w:instrText xml:space="preserve"> STYLEREF 1 \s </w:instrText>
      </w:r>
      <w:r w:rsidR="00946EE5">
        <w:fldChar w:fldCharType="separate"/>
      </w:r>
      <w:r w:rsidR="00946EE5">
        <w:rPr>
          <w:noProof/>
        </w:rPr>
        <w:t>2</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4</w:t>
      </w:r>
      <w:r w:rsidR="00946EE5">
        <w:fldChar w:fldCharType="end"/>
      </w:r>
      <w:bookmarkEnd w:id="31"/>
      <w:r>
        <w:t xml:space="preserve"> - </w:t>
      </w:r>
      <w:r w:rsidRPr="002D6860">
        <w:t xml:space="preserve">Annual </w:t>
      </w:r>
      <w:r w:rsidRPr="002D6860">
        <w:rPr>
          <w:szCs w:val="24"/>
        </w:rPr>
        <w:t xml:space="preserve">Mean </w:t>
      </w:r>
      <w:r w:rsidRPr="002D6860">
        <w:rPr>
          <w:rFonts w:cs="Arial"/>
          <w:szCs w:val="24"/>
          <w:lang w:val="en-IE"/>
        </w:rPr>
        <w:t>PM</w:t>
      </w:r>
      <w:r w:rsidRPr="002D6860">
        <w:rPr>
          <w:rFonts w:cs="Arial"/>
          <w:szCs w:val="24"/>
          <w:vertAlign w:val="subscript"/>
          <w:lang w:val="en-IE"/>
        </w:rPr>
        <w:t>10</w:t>
      </w:r>
      <w:r w:rsidRPr="002D6860">
        <w:rPr>
          <w:szCs w:val="24"/>
        </w:rPr>
        <w:t xml:space="preserve"> Co</w:t>
      </w:r>
      <w:r w:rsidRPr="002D6860">
        <w:t>ncentration Trends at all Monitoring Sites in Newcastle 2020 – 2024</w:t>
      </w:r>
      <w:bookmarkEnd w:id="32"/>
    </w:p>
    <w:p w14:paraId="191E68A6" w14:textId="5812A2E1" w:rsidR="00E9790C" w:rsidRDefault="00FF57F7" w:rsidP="00E9790C">
      <w:r>
        <w:rPr>
          <w:noProof/>
        </w:rPr>
        <w:drawing>
          <wp:inline distT="0" distB="0" distL="0" distR="0" wp14:anchorId="7055BD15" wp14:editId="2FAFE618">
            <wp:extent cx="5631180" cy="2796540"/>
            <wp:effectExtent l="0" t="0" r="7620" b="3810"/>
            <wp:docPr id="1426717858" name="Chart 1">
              <a:extLst xmlns:a="http://schemas.openxmlformats.org/drawingml/2006/main">
                <a:ext uri="{FF2B5EF4-FFF2-40B4-BE49-F238E27FC236}">
                  <a16:creationId xmlns:a16="http://schemas.microsoft.com/office/drawing/2014/main" id="{5D2E95B2-465A-3D27-F33C-95820D48C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6A77C94" w14:textId="6951C25C" w:rsidR="001826D2" w:rsidRPr="001826D2" w:rsidRDefault="001826D2" w:rsidP="001826D2">
      <w:pPr>
        <w:pStyle w:val="Caption"/>
      </w:pPr>
      <w:bookmarkStart w:id="33" w:name="_Ref209771570"/>
      <w:bookmarkStart w:id="34" w:name="_Toc222131917"/>
      <w:r>
        <w:lastRenderedPageBreak/>
        <w:t xml:space="preserve">Figure </w:t>
      </w:r>
      <w:r w:rsidR="00946EE5">
        <w:fldChar w:fldCharType="begin"/>
      </w:r>
      <w:r w:rsidR="00946EE5">
        <w:instrText xml:space="preserve"> STYLEREF 1 \s </w:instrText>
      </w:r>
      <w:r w:rsidR="00946EE5">
        <w:fldChar w:fldCharType="separate"/>
      </w:r>
      <w:r w:rsidR="00946EE5">
        <w:rPr>
          <w:noProof/>
        </w:rPr>
        <w:t>2</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5</w:t>
      </w:r>
      <w:r w:rsidR="00946EE5">
        <w:fldChar w:fldCharType="end"/>
      </w:r>
      <w:bookmarkEnd w:id="33"/>
      <w:r>
        <w:t xml:space="preserve"> - </w:t>
      </w:r>
      <w:r w:rsidRPr="002D6860">
        <w:t xml:space="preserve">Annual </w:t>
      </w:r>
      <w:r w:rsidRPr="002D6860">
        <w:rPr>
          <w:szCs w:val="24"/>
        </w:rPr>
        <w:t xml:space="preserve">Mean </w:t>
      </w:r>
      <w:r w:rsidRPr="002D6860">
        <w:rPr>
          <w:rFonts w:cs="Arial"/>
          <w:szCs w:val="24"/>
          <w:lang w:val="en-IE"/>
        </w:rPr>
        <w:t>PM</w:t>
      </w:r>
      <w:r w:rsidRPr="002D6860">
        <w:rPr>
          <w:rFonts w:cs="Arial"/>
          <w:szCs w:val="24"/>
          <w:vertAlign w:val="subscript"/>
          <w:lang w:val="en-IE"/>
        </w:rPr>
        <w:t>2.5</w:t>
      </w:r>
      <w:r w:rsidRPr="002D6860">
        <w:rPr>
          <w:szCs w:val="24"/>
        </w:rPr>
        <w:t xml:space="preserve"> Concentration</w:t>
      </w:r>
      <w:r w:rsidRPr="002D6860">
        <w:t xml:space="preserve"> Trends at all Monitoring Sites in Newcastle 2020 – 2024</w:t>
      </w:r>
      <w:bookmarkEnd w:id="34"/>
    </w:p>
    <w:p w14:paraId="64FB6669" w14:textId="7C87FAB2" w:rsidR="003867B2" w:rsidRDefault="003867B2" w:rsidP="003867B2">
      <w:r w:rsidRPr="00B2198C">
        <w:t>Overall, from 20</w:t>
      </w:r>
      <w:r w:rsidR="00FF57F7">
        <w:t>19</w:t>
      </w:r>
      <w:r w:rsidRPr="00B2198C">
        <w:t xml:space="preserve"> to 2024, Newcastle followed the UK downward trend in annual mean </w:t>
      </w:r>
      <w:r w:rsidRPr="00B2198C">
        <w:rPr>
          <w:rFonts w:cs="Arial"/>
          <w:lang w:val="en-IE"/>
        </w:rPr>
        <w:t>PM</w:t>
      </w:r>
      <w:r w:rsidRPr="00B2198C">
        <w:rPr>
          <w:rFonts w:cs="Arial"/>
          <w:vertAlign w:val="subscript"/>
          <w:lang w:val="en-IE"/>
        </w:rPr>
        <w:t>10</w:t>
      </w:r>
      <w:r w:rsidRPr="00B2198C">
        <w:t xml:space="preserve"> concentrations, with an average reduction of </w:t>
      </w:r>
      <w:r w:rsidR="00FF57F7">
        <w:t>16.4</w:t>
      </w:r>
      <w:r w:rsidRPr="00B2198C">
        <w:t xml:space="preserve">% at the urban background monitor Newcastle Centre AURN and </w:t>
      </w:r>
      <w:r w:rsidR="00FF57F7">
        <w:t>19.8</w:t>
      </w:r>
      <w:r w:rsidRPr="00B2198C">
        <w:t xml:space="preserve">% at the urban roadside monitor Cradlewell AURN, as shown in </w:t>
      </w:r>
      <w:r w:rsidR="001826D2">
        <w:fldChar w:fldCharType="begin"/>
      </w:r>
      <w:r w:rsidR="001826D2">
        <w:instrText xml:space="preserve"> REF _Ref209771540 \h </w:instrText>
      </w:r>
      <w:r w:rsidR="001826D2">
        <w:fldChar w:fldCharType="separate"/>
      </w:r>
      <w:r w:rsidR="001826D2">
        <w:t xml:space="preserve">Figure </w:t>
      </w:r>
      <w:r w:rsidR="001826D2">
        <w:rPr>
          <w:noProof/>
        </w:rPr>
        <w:t>2</w:t>
      </w:r>
      <w:r w:rsidR="001826D2">
        <w:t>.</w:t>
      </w:r>
      <w:r w:rsidR="001826D2">
        <w:rPr>
          <w:noProof/>
        </w:rPr>
        <w:t>4</w:t>
      </w:r>
      <w:r w:rsidR="001826D2">
        <w:fldChar w:fldCharType="end"/>
      </w:r>
      <w:r w:rsidRPr="00B2198C">
        <w:t xml:space="preserve">. </w:t>
      </w:r>
      <w:r w:rsidR="00B2198C" w:rsidRPr="00B2198C">
        <w:t xml:space="preserve">While monitored urban background </w:t>
      </w:r>
      <w:r w:rsidR="00B2198C" w:rsidRPr="00B2198C">
        <w:rPr>
          <w:rFonts w:cs="Arial"/>
          <w:lang w:val="en-IE"/>
        </w:rPr>
        <w:t>PM</w:t>
      </w:r>
      <w:r w:rsidR="00B2198C" w:rsidRPr="00B2198C">
        <w:rPr>
          <w:rFonts w:cs="Arial"/>
          <w:vertAlign w:val="subscript"/>
          <w:lang w:val="en-IE"/>
        </w:rPr>
        <w:t>10</w:t>
      </w:r>
      <w:r w:rsidR="00B2198C" w:rsidRPr="00B2198C">
        <w:t xml:space="preserve"> concentrations are</w:t>
      </w:r>
      <w:r w:rsidR="00A46B09">
        <w:t xml:space="preserve"> generally</w:t>
      </w:r>
      <w:r w:rsidR="00B2198C" w:rsidRPr="00B2198C">
        <w:t xml:space="preserve"> slightly elevated compared to the UK urban background mean</w:t>
      </w:r>
      <w:r w:rsidR="00A46B09">
        <w:t xml:space="preserve"> except for in year 2022 and 2023</w:t>
      </w:r>
      <w:r w:rsidR="00B2198C" w:rsidRPr="00B2198C">
        <w:t xml:space="preserve">, the recorded urban roadside </w:t>
      </w:r>
      <w:r w:rsidR="00B2198C" w:rsidRPr="00B2198C">
        <w:rPr>
          <w:rFonts w:cs="Arial"/>
          <w:lang w:val="en-IE"/>
        </w:rPr>
        <w:t>PM</w:t>
      </w:r>
      <w:r w:rsidR="00B2198C" w:rsidRPr="00B2198C">
        <w:rPr>
          <w:rFonts w:cs="Arial"/>
          <w:vertAlign w:val="subscript"/>
          <w:lang w:val="en-IE"/>
        </w:rPr>
        <w:t>10</w:t>
      </w:r>
      <w:r w:rsidR="00B2198C" w:rsidRPr="00B2198C">
        <w:t xml:space="preserve"> concentrations have tracked below the average UK urban roadside </w:t>
      </w:r>
      <w:r w:rsidR="00B2198C" w:rsidRPr="00B2198C">
        <w:rPr>
          <w:rFonts w:cs="Arial"/>
          <w:lang w:val="en-IE"/>
        </w:rPr>
        <w:t>PM</w:t>
      </w:r>
      <w:r w:rsidR="00B2198C" w:rsidRPr="00B2198C">
        <w:rPr>
          <w:rFonts w:cs="Arial"/>
          <w:vertAlign w:val="subscript"/>
          <w:lang w:val="en-IE"/>
        </w:rPr>
        <w:t>10</w:t>
      </w:r>
      <w:r w:rsidR="00B2198C" w:rsidRPr="00B2198C">
        <w:t xml:space="preserve"> concentrations from 2020 – 2024. </w:t>
      </w:r>
    </w:p>
    <w:p w14:paraId="3571A118" w14:textId="576F58FA" w:rsidR="00B2198C" w:rsidRPr="00D65422" w:rsidRDefault="00B2198C" w:rsidP="003867B2">
      <w:r w:rsidRPr="00D65422">
        <w:t>Overall, from 20</w:t>
      </w:r>
      <w:r w:rsidR="00A46B09">
        <w:t>19</w:t>
      </w:r>
      <w:r w:rsidRPr="00D65422">
        <w:t xml:space="preserve"> to 2024, Newcastle follow</w:t>
      </w:r>
      <w:r w:rsidR="00A46B09">
        <w:t>ed</w:t>
      </w:r>
      <w:r w:rsidRPr="00D65422">
        <w:t xml:space="preserve"> the UK downward trend in annual mean </w:t>
      </w:r>
      <w:r w:rsidRPr="00D65422">
        <w:rPr>
          <w:rFonts w:cs="Arial"/>
          <w:lang w:val="en-IE"/>
        </w:rPr>
        <w:t>PM</w:t>
      </w:r>
      <w:r w:rsidRPr="00D65422">
        <w:rPr>
          <w:rFonts w:cs="Arial"/>
          <w:vertAlign w:val="subscript"/>
          <w:lang w:val="en-IE"/>
        </w:rPr>
        <w:t>2.5</w:t>
      </w:r>
      <w:r w:rsidRPr="00D65422">
        <w:t xml:space="preserve"> concentrations, with an average </w:t>
      </w:r>
      <w:r w:rsidR="00A46B09">
        <w:t>decrease</w:t>
      </w:r>
      <w:r w:rsidR="00A46B09" w:rsidRPr="00D65422">
        <w:t xml:space="preserve"> </w:t>
      </w:r>
      <w:r w:rsidRPr="00D65422">
        <w:t xml:space="preserve">of </w:t>
      </w:r>
      <w:r w:rsidR="00A46B09">
        <w:t>2.7</w:t>
      </w:r>
      <w:r w:rsidRPr="00D65422">
        <w:t xml:space="preserve">%, as shown in </w:t>
      </w:r>
      <w:r w:rsidR="001826D2">
        <w:fldChar w:fldCharType="begin"/>
      </w:r>
      <w:r w:rsidR="001826D2">
        <w:instrText xml:space="preserve"> REF _Ref209771570 \h </w:instrText>
      </w:r>
      <w:r w:rsidR="001826D2">
        <w:fldChar w:fldCharType="separate"/>
      </w:r>
      <w:r w:rsidR="001826D2">
        <w:t xml:space="preserve">Figure </w:t>
      </w:r>
      <w:r w:rsidR="001826D2">
        <w:rPr>
          <w:noProof/>
        </w:rPr>
        <w:t>2</w:t>
      </w:r>
      <w:r w:rsidR="001826D2">
        <w:t>.</w:t>
      </w:r>
      <w:r w:rsidR="001826D2">
        <w:rPr>
          <w:noProof/>
        </w:rPr>
        <w:t>5</w:t>
      </w:r>
      <w:r w:rsidR="001826D2">
        <w:fldChar w:fldCharType="end"/>
      </w:r>
      <w:r w:rsidRPr="00D65422">
        <w:t xml:space="preserve">. </w:t>
      </w:r>
      <w:r w:rsidR="00A46B09">
        <w:t>Furthermore</w:t>
      </w:r>
      <w:r w:rsidRPr="00D65422">
        <w:t xml:space="preserve">, </w:t>
      </w:r>
      <w:r w:rsidRPr="00D65422">
        <w:rPr>
          <w:rFonts w:cs="Arial"/>
          <w:lang w:val="en-IE"/>
        </w:rPr>
        <w:t>PM</w:t>
      </w:r>
      <w:r w:rsidRPr="00D65422">
        <w:rPr>
          <w:rFonts w:cs="Arial"/>
          <w:vertAlign w:val="subscript"/>
          <w:lang w:val="en-IE"/>
        </w:rPr>
        <w:t>2.5</w:t>
      </w:r>
      <w:r w:rsidRPr="00D65422">
        <w:t xml:space="preserve"> concentrations in Newcastle tracked below the average UK</w:t>
      </w:r>
      <w:r w:rsidR="00D65422">
        <w:t xml:space="preserve"> urban background</w:t>
      </w:r>
      <w:r w:rsidRPr="00D65422">
        <w:t xml:space="preserve"> </w:t>
      </w:r>
      <w:r w:rsidRPr="00D65422">
        <w:rPr>
          <w:rFonts w:cs="Arial"/>
          <w:lang w:val="en-IE"/>
        </w:rPr>
        <w:t>PM</w:t>
      </w:r>
      <w:r w:rsidRPr="00D65422">
        <w:rPr>
          <w:rFonts w:cs="Arial"/>
          <w:vertAlign w:val="subscript"/>
          <w:lang w:val="en-IE"/>
        </w:rPr>
        <w:t>2.5</w:t>
      </w:r>
      <w:r w:rsidRPr="00D65422">
        <w:t xml:space="preserve"> concentrations </w:t>
      </w:r>
      <w:r w:rsidR="00D65422" w:rsidRPr="00D65422">
        <w:t>at the urban background monitor Newcastle Centre AURN from 20</w:t>
      </w:r>
      <w:r w:rsidR="00A46B09">
        <w:t>19</w:t>
      </w:r>
      <w:r w:rsidR="00D65422" w:rsidRPr="00D65422">
        <w:t xml:space="preserve"> – 2023</w:t>
      </w:r>
      <w:r w:rsidR="00D65422">
        <w:t xml:space="preserve">, </w:t>
      </w:r>
      <w:r w:rsidR="00D65422" w:rsidRPr="00D65422">
        <w:t xml:space="preserve">and in 2024 the monitored </w:t>
      </w:r>
      <w:r w:rsidR="00D65422" w:rsidRPr="00D65422">
        <w:rPr>
          <w:rFonts w:cs="Arial"/>
          <w:lang w:val="en-IE"/>
        </w:rPr>
        <w:t>PM</w:t>
      </w:r>
      <w:r w:rsidR="00D65422" w:rsidRPr="00D65422">
        <w:rPr>
          <w:rFonts w:cs="Arial"/>
          <w:vertAlign w:val="subscript"/>
          <w:lang w:val="en-IE"/>
        </w:rPr>
        <w:t>2.5</w:t>
      </w:r>
      <w:r w:rsidR="00D65422" w:rsidRPr="00D65422">
        <w:t xml:space="preserve"> concentrations are only slightly elevated compared to the UK urban background mean.</w:t>
      </w:r>
      <w:r w:rsidR="004573FE">
        <w:t xml:space="preserve"> </w:t>
      </w:r>
    </w:p>
    <w:p w14:paraId="74101946" w14:textId="2547150F" w:rsidR="00F95C9A" w:rsidRPr="00C51F09" w:rsidRDefault="00237555" w:rsidP="000E0C77">
      <w:pPr>
        <w:pStyle w:val="Heading1"/>
      </w:pPr>
      <w:bookmarkStart w:id="35" w:name="_Toc88485995"/>
      <w:bookmarkStart w:id="36" w:name="_Toc141346889"/>
      <w:bookmarkStart w:id="37" w:name="_Toc222131862"/>
      <w:r>
        <w:t>Newcastle City Council’s</w:t>
      </w:r>
      <w:r w:rsidRPr="00C51F09">
        <w:t xml:space="preserve"> </w:t>
      </w:r>
      <w:r w:rsidR="00F95C9A" w:rsidRPr="00C51F09">
        <w:t xml:space="preserve">Air Quality </w:t>
      </w:r>
      <w:r w:rsidR="00CE793F" w:rsidRPr="00C51F09">
        <w:t>Priorities</w:t>
      </w:r>
      <w:bookmarkEnd w:id="35"/>
      <w:bookmarkEnd w:id="36"/>
      <w:bookmarkEnd w:id="37"/>
      <w:r>
        <w:t xml:space="preserve"> </w:t>
      </w:r>
    </w:p>
    <w:p w14:paraId="3EC96B0D" w14:textId="77777777" w:rsidR="00CE793F" w:rsidRPr="002B4B5B" w:rsidRDefault="00C51F09" w:rsidP="00E351DA">
      <w:pPr>
        <w:pStyle w:val="Heading2"/>
        <w:numPr>
          <w:ilvl w:val="1"/>
          <w:numId w:val="11"/>
        </w:numPr>
      </w:pPr>
      <w:bookmarkStart w:id="38" w:name="_Toc88485996"/>
      <w:bookmarkStart w:id="39" w:name="_Toc141346890"/>
      <w:bookmarkStart w:id="40" w:name="_Toc222131863"/>
      <w:bookmarkStart w:id="41" w:name="_Toc72901069"/>
      <w:r w:rsidRPr="002B4B5B">
        <w:t>Public Health Context</w:t>
      </w:r>
      <w:bookmarkEnd w:id="38"/>
      <w:bookmarkEnd w:id="39"/>
      <w:bookmarkEnd w:id="40"/>
    </w:p>
    <w:p w14:paraId="21AEE83B" w14:textId="04718A7E" w:rsidR="00237555" w:rsidRDefault="00237555" w:rsidP="00237555">
      <w:r>
        <w:t>Air pollution is the largest environmental risk to public health in the UK</w:t>
      </w:r>
      <w:r>
        <w:rPr>
          <w:rStyle w:val="FootnoteReference"/>
        </w:rPr>
        <w:footnoteReference w:id="8"/>
      </w:r>
      <w:r>
        <w:t xml:space="preserve"> and can cause and worsen health </w:t>
      </w:r>
      <w:r w:rsidR="00AE681C">
        <w:t>conditions</w:t>
      </w:r>
      <w:r>
        <w:t>, particularly in the most vulnerable groups of society including children, the elderly, individuals with existing cardiovascular or respiratory diseases, pregnant women and low-income communities.</w:t>
      </w:r>
    </w:p>
    <w:p w14:paraId="501CA4E4" w14:textId="52ACBF9E" w:rsidR="00167BC1" w:rsidRPr="00237555" w:rsidRDefault="00237555" w:rsidP="0046508E">
      <w:r>
        <w:t>The Public Health Outcomes Framework includes PM</w:t>
      </w:r>
      <w:r>
        <w:rPr>
          <w:vertAlign w:val="subscript"/>
        </w:rPr>
        <w:t>2.5</w:t>
      </w:r>
      <w:r>
        <w:t xml:space="preserve"> as a key indicator of mortality, this is the mortality burden associated with long term exposure to particulate matter and is expressed as a percentage of annual deaths from all causes </w:t>
      </w:r>
      <w:r>
        <w:lastRenderedPageBreak/>
        <w:t>in the population over 30 years of age. The fraction of mortality attributable to particulate air pollution in Newcastle in 2023 was 5.0%</w:t>
      </w:r>
      <w:r w:rsidR="00830C98">
        <w:rPr>
          <w:rStyle w:val="FootnoteReference"/>
        </w:rPr>
        <w:footnoteReference w:id="9"/>
      </w:r>
      <w:r>
        <w:t>. This is slightly lower than the average for English local authorities of 5.2%.</w:t>
      </w:r>
      <w:r w:rsidRPr="00237555">
        <w:t xml:space="preserve"> </w:t>
      </w:r>
      <w:r w:rsidR="00B27E86">
        <w:t xml:space="preserve">However, it is higher than the average of the North East region </w:t>
      </w:r>
      <w:r w:rsidRPr="00237555">
        <w:t xml:space="preserve">of </w:t>
      </w:r>
      <w:r>
        <w:t>4.6</w:t>
      </w:r>
      <w:r w:rsidRPr="00237555">
        <w:t>%.</w:t>
      </w:r>
    </w:p>
    <w:p w14:paraId="75EEB07E" w14:textId="77777777" w:rsidR="00C51F09" w:rsidRPr="002B4B5B" w:rsidRDefault="00C51F09" w:rsidP="00E351DA">
      <w:pPr>
        <w:pStyle w:val="Heading2"/>
        <w:numPr>
          <w:ilvl w:val="1"/>
          <w:numId w:val="11"/>
        </w:numPr>
      </w:pPr>
      <w:bookmarkStart w:id="42" w:name="_Toc88485997"/>
      <w:bookmarkStart w:id="43" w:name="_Toc141346891"/>
      <w:bookmarkStart w:id="44" w:name="_Toc222131864"/>
      <w:r w:rsidRPr="002B4B5B">
        <w:t>Planning and Policy Context</w:t>
      </w:r>
      <w:bookmarkEnd w:id="42"/>
      <w:bookmarkEnd w:id="43"/>
      <w:bookmarkEnd w:id="44"/>
    </w:p>
    <w:p w14:paraId="63DC0C78" w14:textId="600E77FD" w:rsidR="00EA07D8" w:rsidRDefault="00B27E86" w:rsidP="00B27E86">
      <w:bookmarkStart w:id="45" w:name="_Ref444868919"/>
      <w:bookmarkStart w:id="46" w:name="_Toc88485998"/>
      <w:bookmarkStart w:id="47" w:name="_Toc141346892"/>
      <w:r w:rsidRPr="00F91CF9">
        <w:t xml:space="preserve">The air quality action plan exists within a comprehensive network of planning and policy documents on a local, regional, and national scale, which work together to contribute towards improvements in air quality in </w:t>
      </w:r>
      <w:r w:rsidR="00A86438">
        <w:t>Newcastle</w:t>
      </w:r>
      <w:r>
        <w:t xml:space="preserve">. </w:t>
      </w:r>
      <w:bookmarkStart w:id="48" w:name="_Hlk198660280"/>
    </w:p>
    <w:p w14:paraId="3AEDE7BF" w14:textId="5CB34146" w:rsidR="00B27E86" w:rsidRDefault="00B27E86" w:rsidP="00B27E86">
      <w:r>
        <w:t>A list of relevant policy is provided</w:t>
      </w:r>
      <w:r w:rsidR="00C22904">
        <w:t xml:space="preserve"> in </w:t>
      </w:r>
      <w:r w:rsidR="00C22904" w:rsidRPr="00C22904">
        <w:fldChar w:fldCharType="begin"/>
      </w:r>
      <w:r w:rsidR="00C22904" w:rsidRPr="00C22904">
        <w:instrText xml:space="preserve"> REF _Ref206414466 \h </w:instrText>
      </w:r>
      <w:r w:rsidR="00C22904" w:rsidRPr="00D04771">
        <w:instrText xml:space="preserve"> \* MERGEFORMAT </w:instrText>
      </w:r>
      <w:r w:rsidR="00C22904" w:rsidRPr="00C22904">
        <w:fldChar w:fldCharType="separate"/>
      </w:r>
      <w:r w:rsidR="00C22904" w:rsidRPr="00D04771">
        <w:t xml:space="preserve">Table </w:t>
      </w:r>
      <w:r w:rsidR="00C22904" w:rsidRPr="00D04771">
        <w:rPr>
          <w:noProof/>
        </w:rPr>
        <w:t>3</w:t>
      </w:r>
      <w:r w:rsidR="00C22904" w:rsidRPr="00D04771">
        <w:t>.</w:t>
      </w:r>
      <w:r w:rsidR="00C22904" w:rsidRPr="00D04771">
        <w:rPr>
          <w:noProof/>
        </w:rPr>
        <w:t>1</w:t>
      </w:r>
      <w:r w:rsidR="00C22904" w:rsidRPr="00C22904">
        <w:fldChar w:fldCharType="end"/>
      </w:r>
      <w:r w:rsidRPr="00C22904">
        <w:t xml:space="preserve"> below</w:t>
      </w:r>
      <w:bookmarkEnd w:id="48"/>
      <w:r>
        <w:t>, considering air quality specific policy, planning policy, transport policy (which has a key impact on air quality due to the sector’s contribution to emissions), and climate policy (which often has co-benefits for air quality as actions to reduce CO</w:t>
      </w:r>
      <w:r w:rsidRPr="000C6AB8">
        <w:rPr>
          <w:vertAlign w:val="subscript"/>
        </w:rPr>
        <w:t>2</w:t>
      </w:r>
      <w:r>
        <w:t xml:space="preserve"> emissions also reduce NO</w:t>
      </w:r>
      <w:r w:rsidRPr="000C6AB8">
        <w:rPr>
          <w:vertAlign w:val="subscript"/>
        </w:rPr>
        <w:t>2</w:t>
      </w:r>
      <w:r>
        <w:t xml:space="preserve"> and PM emissions).</w:t>
      </w:r>
    </w:p>
    <w:p w14:paraId="783DC1EC" w14:textId="1E6BDA08" w:rsidR="00973E62" w:rsidRDefault="00973E62" w:rsidP="00973E62">
      <w:pPr>
        <w:rPr>
          <w:b/>
          <w:bCs/>
          <w:color w:val="006726"/>
        </w:rPr>
      </w:pPr>
      <w:bookmarkStart w:id="49" w:name="_Ref206414466"/>
      <w:bookmarkStart w:id="50" w:name="_Toc222131898"/>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Pr>
          <w:b/>
          <w:bCs/>
          <w:noProof/>
          <w:color w:val="006726"/>
        </w:rPr>
        <w:t>3</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Pr>
          <w:b/>
          <w:bCs/>
          <w:noProof/>
          <w:color w:val="006726"/>
        </w:rPr>
        <w:t>1</w:t>
      </w:r>
      <w:r w:rsidRPr="00A85C14">
        <w:rPr>
          <w:b/>
          <w:bCs/>
          <w:color w:val="006726"/>
        </w:rPr>
        <w:fldChar w:fldCharType="end"/>
      </w:r>
      <w:bookmarkEnd w:id="49"/>
      <w:r w:rsidRPr="00A85C14">
        <w:rPr>
          <w:b/>
          <w:bCs/>
          <w:color w:val="006726"/>
        </w:rPr>
        <w:t xml:space="preserve"> – </w:t>
      </w:r>
      <w:r>
        <w:rPr>
          <w:b/>
          <w:bCs/>
          <w:color w:val="006726"/>
        </w:rPr>
        <w:t>Summary of Relevant Policy</w:t>
      </w:r>
      <w:bookmarkEnd w:id="50"/>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1414"/>
        <w:gridCol w:w="2549"/>
        <w:gridCol w:w="2549"/>
        <w:gridCol w:w="2548"/>
      </w:tblGrid>
      <w:tr w:rsidR="00973E62" w:rsidRPr="002A53BD" w14:paraId="142629CF" w14:textId="77777777" w:rsidTr="00D615CF">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0" w:type="pct"/>
            <w:vMerge w:val="restart"/>
            <w:shd w:val="clear" w:color="auto" w:fill="006600"/>
          </w:tcPr>
          <w:p w14:paraId="7F2B4018" w14:textId="77777777" w:rsidR="00973E62" w:rsidRPr="002A53BD" w:rsidRDefault="00973E62" w:rsidP="00D615CF">
            <w:pPr>
              <w:spacing w:before="0" w:after="0" w:line="240" w:lineRule="auto"/>
              <w:rPr>
                <w:b w:val="0"/>
                <w:color w:val="FFFFFF" w:themeColor="background1"/>
              </w:rPr>
            </w:pPr>
            <w:r>
              <w:rPr>
                <w:b w:val="0"/>
                <w:color w:val="FFFFFF" w:themeColor="background1"/>
              </w:rPr>
              <w:t>Topic</w:t>
            </w:r>
          </w:p>
        </w:tc>
        <w:tc>
          <w:tcPr>
            <w:tcW w:w="1407" w:type="pct"/>
            <w:vMerge w:val="restart"/>
            <w:shd w:val="clear" w:color="auto" w:fill="006600"/>
          </w:tcPr>
          <w:p w14:paraId="3946DBC5" w14:textId="77777777" w:rsidR="00973E62" w:rsidRPr="002A53BD" w:rsidRDefault="00973E62" w:rsidP="00D615CF">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Local Policy</w:t>
            </w:r>
          </w:p>
        </w:tc>
        <w:tc>
          <w:tcPr>
            <w:tcW w:w="1407" w:type="pct"/>
            <w:vMerge w:val="restart"/>
            <w:shd w:val="clear" w:color="auto" w:fill="006600"/>
          </w:tcPr>
          <w:p w14:paraId="6E69E290" w14:textId="77777777" w:rsidR="00973E62" w:rsidRPr="002A53BD" w:rsidRDefault="00973E62" w:rsidP="00D615CF">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Regional Policy</w:t>
            </w:r>
          </w:p>
        </w:tc>
        <w:tc>
          <w:tcPr>
            <w:tcW w:w="1406" w:type="pct"/>
            <w:vMerge w:val="restart"/>
            <w:shd w:val="clear" w:color="auto" w:fill="006600"/>
          </w:tcPr>
          <w:p w14:paraId="6F25B1E2" w14:textId="77777777" w:rsidR="00973E62" w:rsidRPr="002A53BD" w:rsidRDefault="00973E62" w:rsidP="00D615CF">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National Policy</w:t>
            </w:r>
          </w:p>
        </w:tc>
      </w:tr>
      <w:tr w:rsidR="00973E62" w:rsidRPr="002A53BD" w14:paraId="2826F175" w14:textId="77777777" w:rsidTr="00D615CF">
        <w:trPr>
          <w:trHeight w:val="315"/>
        </w:trPr>
        <w:tc>
          <w:tcPr>
            <w:cnfStyle w:val="001000000000" w:firstRow="0" w:lastRow="0" w:firstColumn="1" w:lastColumn="0" w:oddVBand="0" w:evenVBand="0" w:oddHBand="0" w:evenHBand="0" w:firstRowFirstColumn="0" w:firstRowLastColumn="0" w:lastRowFirstColumn="0" w:lastRowLastColumn="0"/>
            <w:tcW w:w="780" w:type="pct"/>
            <w:vMerge/>
            <w:shd w:val="clear" w:color="auto" w:fill="006600"/>
          </w:tcPr>
          <w:p w14:paraId="171EA3AC" w14:textId="77777777" w:rsidR="00973E62" w:rsidRPr="002A53BD" w:rsidRDefault="00973E62" w:rsidP="00D615CF">
            <w:pPr>
              <w:spacing w:before="0" w:after="0" w:line="240" w:lineRule="auto"/>
              <w:rPr>
                <w:rFonts w:eastAsia="Times New Roman" w:cs="Arial"/>
                <w:bCs/>
                <w:color w:val="FFFFFF" w:themeColor="background1"/>
                <w:lang w:val="en-US" w:eastAsia="zh-CN"/>
              </w:rPr>
            </w:pPr>
          </w:p>
        </w:tc>
        <w:tc>
          <w:tcPr>
            <w:tcW w:w="1407" w:type="pct"/>
            <w:vMerge/>
            <w:shd w:val="clear" w:color="auto" w:fill="006600"/>
          </w:tcPr>
          <w:p w14:paraId="0D79BD2D" w14:textId="77777777" w:rsidR="00973E62" w:rsidRPr="002A53BD" w:rsidRDefault="00973E62" w:rsidP="00D615C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407" w:type="pct"/>
            <w:vMerge/>
            <w:shd w:val="clear" w:color="auto" w:fill="006600"/>
          </w:tcPr>
          <w:p w14:paraId="125B29F6" w14:textId="77777777" w:rsidR="00973E62" w:rsidRPr="002A53BD" w:rsidRDefault="00973E62" w:rsidP="00D615C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406" w:type="pct"/>
            <w:vMerge/>
            <w:shd w:val="clear" w:color="auto" w:fill="006600"/>
          </w:tcPr>
          <w:p w14:paraId="4E658833" w14:textId="77777777" w:rsidR="00973E62" w:rsidRPr="002A53BD" w:rsidRDefault="00973E62" w:rsidP="00D615CF">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r>
      <w:tr w:rsidR="00973E62" w:rsidRPr="002A53BD" w14:paraId="4EE8E51B" w14:textId="77777777" w:rsidTr="00D615CF">
        <w:trPr>
          <w:trHeight w:val="880"/>
        </w:trPr>
        <w:tc>
          <w:tcPr>
            <w:cnfStyle w:val="001000000000" w:firstRow="0" w:lastRow="0" w:firstColumn="1" w:lastColumn="0" w:oddVBand="0" w:evenVBand="0" w:oddHBand="0" w:evenHBand="0" w:firstRowFirstColumn="0" w:firstRowLastColumn="0" w:lastRowFirstColumn="0" w:lastRowLastColumn="0"/>
            <w:tcW w:w="780" w:type="pct"/>
          </w:tcPr>
          <w:p w14:paraId="7909E2AD" w14:textId="77777777" w:rsidR="00973E62" w:rsidRPr="003264CE" w:rsidRDefault="00973E62" w:rsidP="00EA07D8">
            <w:pPr>
              <w:spacing w:before="0" w:after="0" w:line="240" w:lineRule="auto"/>
              <w:jc w:val="left"/>
              <w:rPr>
                <w:rFonts w:eastAsia="Times New Roman" w:cs="Arial"/>
                <w:sz w:val="22"/>
                <w:szCs w:val="22"/>
                <w:lang w:val="en-US" w:eastAsia="zh-CN"/>
              </w:rPr>
            </w:pPr>
            <w:r w:rsidRPr="003264CE">
              <w:rPr>
                <w:rFonts w:eastAsia="Times New Roman" w:cs="Arial"/>
                <w:sz w:val="22"/>
                <w:szCs w:val="22"/>
                <w:lang w:val="en-US" w:eastAsia="zh-CN"/>
              </w:rPr>
              <w:t>Air Quality</w:t>
            </w:r>
          </w:p>
        </w:tc>
        <w:tc>
          <w:tcPr>
            <w:tcW w:w="1407" w:type="pct"/>
          </w:tcPr>
          <w:p w14:paraId="12F67B44" w14:textId="37258133" w:rsidR="00973E62"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Pr>
                <w:rFonts w:eastAsia="Times New Roman" w:cs="Arial"/>
                <w:sz w:val="22"/>
                <w:szCs w:val="22"/>
                <w:lang w:val="en-US" w:eastAsia="zh-CN"/>
              </w:rPr>
              <w:t>Newcastle AQAP (this document)</w:t>
            </w:r>
            <w:r w:rsidR="00CF154A">
              <w:rPr>
                <w:rFonts w:eastAsia="Times New Roman" w:cs="Arial"/>
                <w:sz w:val="22"/>
                <w:szCs w:val="22"/>
                <w:lang w:val="en-US" w:eastAsia="zh-CN"/>
              </w:rPr>
              <w:t>;</w:t>
            </w:r>
          </w:p>
          <w:p w14:paraId="0B4A0A80" w14:textId="193DB01C" w:rsidR="00C22904" w:rsidRPr="003264CE"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Pr>
                <w:rFonts w:eastAsia="Times New Roman" w:cs="Arial"/>
                <w:sz w:val="22"/>
                <w:szCs w:val="22"/>
                <w:lang w:val="en-US" w:eastAsia="zh-CN"/>
              </w:rPr>
              <w:t>Smoke Control Area and Solid Fuel Enforcement Policy</w:t>
            </w:r>
          </w:p>
        </w:tc>
        <w:tc>
          <w:tcPr>
            <w:tcW w:w="1407" w:type="pct"/>
          </w:tcPr>
          <w:p w14:paraId="32818986" w14:textId="110DCEEA"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p>
        </w:tc>
        <w:tc>
          <w:tcPr>
            <w:tcW w:w="1406" w:type="pct"/>
          </w:tcPr>
          <w:p w14:paraId="2E8595EC" w14:textId="783950BD"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sidRPr="003264CE">
              <w:rPr>
                <w:rFonts w:eastAsia="Times New Roman" w:cs="Arial"/>
                <w:sz w:val="22"/>
                <w:szCs w:val="22"/>
                <w:lang w:val="en-US" w:eastAsia="zh-CN"/>
              </w:rPr>
              <w:t>Environment Act 2021</w:t>
            </w:r>
            <w:r w:rsidR="00CF154A">
              <w:rPr>
                <w:rFonts w:eastAsia="Times New Roman" w:cs="Arial"/>
                <w:sz w:val="22"/>
                <w:szCs w:val="22"/>
                <w:lang w:val="en-US" w:eastAsia="zh-CN"/>
              </w:rPr>
              <w:t>;</w:t>
            </w:r>
          </w:p>
          <w:p w14:paraId="55D55A12" w14:textId="627FB32A"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sidRPr="003264CE">
              <w:rPr>
                <w:rFonts w:eastAsia="Times New Roman" w:cs="Arial"/>
                <w:sz w:val="22"/>
                <w:szCs w:val="22"/>
                <w:lang w:val="en-US" w:eastAsia="zh-CN"/>
              </w:rPr>
              <w:t>Clean Air Strategy (2019)</w:t>
            </w:r>
            <w:r w:rsidR="00CF154A">
              <w:rPr>
                <w:rFonts w:eastAsia="Times New Roman" w:cs="Arial"/>
                <w:sz w:val="22"/>
                <w:szCs w:val="22"/>
                <w:lang w:val="en-US" w:eastAsia="zh-CN"/>
              </w:rPr>
              <w:t>;</w:t>
            </w:r>
          </w:p>
          <w:p w14:paraId="74ED4E7C" w14:textId="77777777"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sidRPr="003264CE">
              <w:rPr>
                <w:rFonts w:eastAsia="Times New Roman" w:cs="Arial"/>
                <w:sz w:val="22"/>
                <w:szCs w:val="22"/>
                <w:lang w:val="en-US" w:eastAsia="zh-CN"/>
              </w:rPr>
              <w:t>Air Quality Strategy (2023)</w:t>
            </w:r>
          </w:p>
        </w:tc>
      </w:tr>
      <w:tr w:rsidR="00973E62" w:rsidRPr="002A53BD" w14:paraId="03B3961F" w14:textId="77777777" w:rsidTr="00D615CF">
        <w:trPr>
          <w:trHeight w:val="566"/>
        </w:trPr>
        <w:tc>
          <w:tcPr>
            <w:cnfStyle w:val="001000000000" w:firstRow="0" w:lastRow="0" w:firstColumn="1" w:lastColumn="0" w:oddVBand="0" w:evenVBand="0" w:oddHBand="0" w:evenHBand="0" w:firstRowFirstColumn="0" w:firstRowLastColumn="0" w:lastRowFirstColumn="0" w:lastRowLastColumn="0"/>
            <w:tcW w:w="780" w:type="pct"/>
          </w:tcPr>
          <w:p w14:paraId="57AA129A" w14:textId="77777777" w:rsidR="00973E62" w:rsidRPr="003264CE" w:rsidRDefault="00973E62" w:rsidP="00EA07D8">
            <w:pPr>
              <w:spacing w:before="0" w:after="0" w:line="240" w:lineRule="auto"/>
              <w:jc w:val="left"/>
              <w:rPr>
                <w:rFonts w:cs="Arial"/>
                <w:sz w:val="22"/>
                <w:szCs w:val="22"/>
                <w:lang w:val="en-US" w:eastAsia="zh-CN"/>
              </w:rPr>
            </w:pPr>
            <w:r w:rsidRPr="003264CE">
              <w:rPr>
                <w:rFonts w:cs="Arial"/>
                <w:sz w:val="22"/>
                <w:szCs w:val="22"/>
                <w:lang w:val="en-US" w:eastAsia="zh-CN"/>
              </w:rPr>
              <w:t>Planning</w:t>
            </w:r>
          </w:p>
        </w:tc>
        <w:tc>
          <w:tcPr>
            <w:tcW w:w="1407" w:type="pct"/>
          </w:tcPr>
          <w:p w14:paraId="6DAF2120" w14:textId="7E85F6BE" w:rsidR="00973E62"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Newcastle Local Plan</w:t>
            </w:r>
            <w:r w:rsidR="00CF154A">
              <w:rPr>
                <w:rFonts w:cs="Arial"/>
                <w:sz w:val="22"/>
                <w:szCs w:val="22"/>
                <w:lang w:val="en-US" w:eastAsia="zh-CN"/>
              </w:rPr>
              <w:t>;</w:t>
            </w:r>
          </w:p>
          <w:p w14:paraId="329876F6" w14:textId="2826830D" w:rsidR="00C22904" w:rsidRPr="003264CE"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Health and Wellbeing Strategy 2023 - 2028</w:t>
            </w:r>
          </w:p>
        </w:tc>
        <w:tc>
          <w:tcPr>
            <w:tcW w:w="1407" w:type="pct"/>
          </w:tcPr>
          <w:p w14:paraId="7320284B" w14:textId="16ACB547" w:rsidR="00973E62" w:rsidRPr="003264CE"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The Interim North East Local Growth Plan 2025</w:t>
            </w:r>
          </w:p>
        </w:tc>
        <w:tc>
          <w:tcPr>
            <w:tcW w:w="1406" w:type="pct"/>
          </w:tcPr>
          <w:p w14:paraId="33B6B7BD" w14:textId="643F84E2"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sidRPr="003264CE">
              <w:rPr>
                <w:rFonts w:cs="Arial"/>
                <w:sz w:val="22"/>
                <w:szCs w:val="22"/>
                <w:lang w:val="en-US" w:eastAsia="zh-CN"/>
              </w:rPr>
              <w:t>National Planning Policy Framework (202</w:t>
            </w:r>
            <w:r>
              <w:rPr>
                <w:rFonts w:cs="Arial"/>
                <w:sz w:val="22"/>
                <w:szCs w:val="22"/>
                <w:lang w:val="en-US" w:eastAsia="zh-CN"/>
              </w:rPr>
              <w:t>4</w:t>
            </w:r>
            <w:r w:rsidRPr="003264CE">
              <w:rPr>
                <w:rFonts w:cs="Arial"/>
                <w:sz w:val="22"/>
                <w:szCs w:val="22"/>
                <w:lang w:val="en-US" w:eastAsia="zh-CN"/>
              </w:rPr>
              <w:t>)</w:t>
            </w:r>
          </w:p>
        </w:tc>
      </w:tr>
      <w:tr w:rsidR="00973E62" w:rsidRPr="002A53BD" w14:paraId="7B89FED0" w14:textId="77777777" w:rsidTr="00D615CF">
        <w:trPr>
          <w:trHeight w:val="566"/>
        </w:trPr>
        <w:tc>
          <w:tcPr>
            <w:cnfStyle w:val="001000000000" w:firstRow="0" w:lastRow="0" w:firstColumn="1" w:lastColumn="0" w:oddVBand="0" w:evenVBand="0" w:oddHBand="0" w:evenHBand="0" w:firstRowFirstColumn="0" w:firstRowLastColumn="0" w:lastRowFirstColumn="0" w:lastRowLastColumn="0"/>
            <w:tcW w:w="780" w:type="pct"/>
          </w:tcPr>
          <w:p w14:paraId="1B92C92E" w14:textId="77777777" w:rsidR="00973E62" w:rsidRPr="003264CE" w:rsidRDefault="00973E62" w:rsidP="00EA07D8">
            <w:pPr>
              <w:spacing w:before="0" w:after="0" w:line="240" w:lineRule="auto"/>
              <w:jc w:val="left"/>
              <w:rPr>
                <w:sz w:val="22"/>
                <w:szCs w:val="22"/>
              </w:rPr>
            </w:pPr>
            <w:r w:rsidRPr="003264CE">
              <w:rPr>
                <w:sz w:val="22"/>
                <w:szCs w:val="22"/>
              </w:rPr>
              <w:t>Transport</w:t>
            </w:r>
          </w:p>
        </w:tc>
        <w:tc>
          <w:tcPr>
            <w:tcW w:w="1407" w:type="pct"/>
          </w:tcPr>
          <w:p w14:paraId="6A5E8EA7" w14:textId="5A9A9AF2" w:rsidR="00973E62"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Emerging Newcastle Movement Strategy</w:t>
            </w:r>
            <w:r w:rsidR="00CF154A">
              <w:rPr>
                <w:sz w:val="22"/>
                <w:szCs w:val="22"/>
              </w:rPr>
              <w:t>;</w:t>
            </w:r>
          </w:p>
          <w:p w14:paraId="54E2D20F" w14:textId="55A60913" w:rsidR="00C22904" w:rsidRPr="003264CE"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Newcastle Green Infrastructure Strategy</w:t>
            </w:r>
          </w:p>
        </w:tc>
        <w:tc>
          <w:tcPr>
            <w:tcW w:w="1407" w:type="pct"/>
          </w:tcPr>
          <w:p w14:paraId="04F7E925" w14:textId="6BE563C4"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North East Local Transport Plan</w:t>
            </w:r>
            <w:r w:rsidR="00CF154A">
              <w:rPr>
                <w:sz w:val="22"/>
                <w:szCs w:val="22"/>
              </w:rPr>
              <w:t>;</w:t>
            </w:r>
          </w:p>
          <w:p w14:paraId="19B50D52" w14:textId="599F6A94"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Go Ultra Low North East</w:t>
            </w:r>
            <w:r w:rsidR="00CF154A">
              <w:rPr>
                <w:sz w:val="22"/>
                <w:szCs w:val="22"/>
              </w:rPr>
              <w:t>;</w:t>
            </w:r>
          </w:p>
          <w:p w14:paraId="10B712B8" w14:textId="67AF7BD6"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North East Active Travel Strategy 2023</w:t>
            </w:r>
            <w:r w:rsidR="00CF154A">
              <w:rPr>
                <w:sz w:val="22"/>
                <w:szCs w:val="22"/>
              </w:rPr>
              <w:t>;</w:t>
            </w:r>
          </w:p>
          <w:p w14:paraId="0ECB35A0" w14:textId="365EC93B"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Making the Right Travel Choice Strategy 2022</w:t>
            </w:r>
            <w:r w:rsidR="00CF154A">
              <w:rPr>
                <w:sz w:val="22"/>
                <w:szCs w:val="22"/>
              </w:rPr>
              <w:t>;</w:t>
            </w:r>
          </w:p>
          <w:p w14:paraId="7C2D56FA" w14:textId="77777777"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Bus Service Improvement Plan 2023</w:t>
            </w:r>
          </w:p>
          <w:p w14:paraId="703B830A" w14:textId="77777777" w:rsidR="00C22904"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lastRenderedPageBreak/>
              <w:t>Zero Emission Vehicle Strategy 2023</w:t>
            </w:r>
          </w:p>
          <w:p w14:paraId="7EADBAC5" w14:textId="085FD58B" w:rsidR="00973E62" w:rsidRPr="003264CE"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Rail and Metro Strategy </w:t>
            </w:r>
          </w:p>
        </w:tc>
        <w:tc>
          <w:tcPr>
            <w:tcW w:w="1406" w:type="pct"/>
          </w:tcPr>
          <w:p w14:paraId="69E319A4" w14:textId="77777777" w:rsidR="00973E62" w:rsidRPr="003264CE" w:rsidRDefault="00973E62" w:rsidP="00D04771">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sz w:val="22"/>
                <w:szCs w:val="22"/>
              </w:rPr>
            </w:pPr>
            <w:r w:rsidRPr="003264CE">
              <w:rPr>
                <w:sz w:val="22"/>
                <w:szCs w:val="22"/>
              </w:rPr>
              <w:lastRenderedPageBreak/>
              <w:t>Emerging Integrated National Transport Strategy</w:t>
            </w:r>
          </w:p>
          <w:p w14:paraId="485B8F01" w14:textId="77777777"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sz w:val="22"/>
                <w:szCs w:val="22"/>
              </w:rPr>
            </w:pPr>
          </w:p>
        </w:tc>
      </w:tr>
      <w:tr w:rsidR="00973E62" w:rsidRPr="002A53BD" w14:paraId="2B6787D6" w14:textId="77777777" w:rsidTr="00D615CF">
        <w:trPr>
          <w:trHeight w:val="128"/>
        </w:trPr>
        <w:tc>
          <w:tcPr>
            <w:cnfStyle w:val="001000000000" w:firstRow="0" w:lastRow="0" w:firstColumn="1" w:lastColumn="0" w:oddVBand="0" w:evenVBand="0" w:oddHBand="0" w:evenHBand="0" w:firstRowFirstColumn="0" w:firstRowLastColumn="0" w:lastRowFirstColumn="0" w:lastRowLastColumn="0"/>
            <w:tcW w:w="780" w:type="pct"/>
          </w:tcPr>
          <w:p w14:paraId="78016F84" w14:textId="77777777" w:rsidR="00973E62" w:rsidRPr="003264CE" w:rsidRDefault="00973E62" w:rsidP="00EA07D8">
            <w:pPr>
              <w:spacing w:before="0" w:after="0" w:line="240" w:lineRule="auto"/>
              <w:jc w:val="left"/>
              <w:rPr>
                <w:rFonts w:cs="Arial"/>
                <w:sz w:val="22"/>
                <w:szCs w:val="22"/>
                <w:lang w:val="en-US" w:eastAsia="zh-CN"/>
              </w:rPr>
            </w:pPr>
            <w:r w:rsidRPr="003264CE">
              <w:rPr>
                <w:rFonts w:cs="Arial"/>
                <w:sz w:val="22"/>
                <w:szCs w:val="22"/>
                <w:lang w:val="en-US" w:eastAsia="zh-CN"/>
              </w:rPr>
              <w:t>Climate</w:t>
            </w:r>
          </w:p>
        </w:tc>
        <w:tc>
          <w:tcPr>
            <w:tcW w:w="1407" w:type="pct"/>
          </w:tcPr>
          <w:p w14:paraId="30745946" w14:textId="77777777" w:rsidR="00973E62" w:rsidRDefault="00C22904"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Net Zero Newcastle 2030 action plan</w:t>
            </w:r>
          </w:p>
          <w:p w14:paraId="68F30AFD" w14:textId="604952DD" w:rsidR="004267AE" w:rsidRPr="003264CE" w:rsidRDefault="004267AE"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Council Plan 2024 - 2027</w:t>
            </w:r>
          </w:p>
        </w:tc>
        <w:tc>
          <w:tcPr>
            <w:tcW w:w="1407" w:type="pct"/>
          </w:tcPr>
          <w:p w14:paraId="4EF9781B" w14:textId="56C9DCF0"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p>
        </w:tc>
        <w:tc>
          <w:tcPr>
            <w:tcW w:w="1406" w:type="pct"/>
          </w:tcPr>
          <w:p w14:paraId="538188BC" w14:textId="77777777" w:rsidR="00973E62" w:rsidRPr="003264CE" w:rsidRDefault="00973E62" w:rsidP="00D04771">
            <w:p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sidRPr="003264CE">
              <w:rPr>
                <w:rFonts w:cs="Arial"/>
                <w:sz w:val="22"/>
                <w:szCs w:val="22"/>
                <w:lang w:val="en-US" w:eastAsia="zh-CN"/>
              </w:rPr>
              <w:t>Net Zero Strategy: Build Back Greener (2021)</w:t>
            </w:r>
          </w:p>
        </w:tc>
      </w:tr>
    </w:tbl>
    <w:p w14:paraId="3149D57D" w14:textId="47FD82FA" w:rsidR="00C22904" w:rsidRDefault="00C22904" w:rsidP="00C22904">
      <w:r>
        <w:t>All policies listed</w:t>
      </w:r>
      <w:r w:rsidRPr="00C22904">
        <w:t xml:space="preserve"> in </w:t>
      </w:r>
      <w:r w:rsidRPr="00C22904">
        <w:fldChar w:fldCharType="begin"/>
      </w:r>
      <w:r w:rsidRPr="00C22904">
        <w:instrText xml:space="preserve"> REF _Ref206414466 \h </w:instrText>
      </w:r>
      <w:r w:rsidRPr="00D04771">
        <w:instrText xml:space="preserve"> \* MERGEFORMAT </w:instrText>
      </w:r>
      <w:r w:rsidRPr="00C22904">
        <w:fldChar w:fldCharType="separate"/>
      </w:r>
      <w:r w:rsidRPr="00D04771">
        <w:t xml:space="preserve">Table </w:t>
      </w:r>
      <w:r w:rsidRPr="00D04771">
        <w:rPr>
          <w:noProof/>
        </w:rPr>
        <w:t>3</w:t>
      </w:r>
      <w:r w:rsidRPr="00D04771">
        <w:t>.</w:t>
      </w:r>
      <w:r w:rsidRPr="00D04771">
        <w:rPr>
          <w:noProof/>
        </w:rPr>
        <w:t>1</w:t>
      </w:r>
      <w:r w:rsidRPr="00C22904">
        <w:fldChar w:fldCharType="end"/>
      </w:r>
      <w:r>
        <w:t xml:space="preserve"> are described in detail in</w:t>
      </w:r>
      <w:r w:rsidR="00797DDE">
        <w:t xml:space="preserve"> Appendix C</w:t>
      </w:r>
      <w:r>
        <w:t>. Items of specific note are:</w:t>
      </w:r>
    </w:p>
    <w:p w14:paraId="6A8E3732" w14:textId="00A623F6" w:rsidR="00F914C6" w:rsidRDefault="00CF154A" w:rsidP="00D04771">
      <w:pPr>
        <w:pStyle w:val="ListParagraph"/>
        <w:numPr>
          <w:ilvl w:val="0"/>
          <w:numId w:val="34"/>
        </w:numPr>
      </w:pPr>
      <w:r>
        <w:t>Work has started on preparation of a joint Local Plan working with Gateshead Council. C</w:t>
      </w:r>
      <w:r w:rsidR="00F914C6">
        <w:t xml:space="preserve">entral government is keen to bring forward partnership working between Local Planning Authorities and Combined Authorities. The current Local Plan is a collection of documents that guides future development in Newcastle to 2030 which consist of two parts: the </w:t>
      </w:r>
      <w:r w:rsidR="009F0A7B">
        <w:t>C</w:t>
      </w:r>
      <w:r w:rsidR="00F914C6">
        <w:t xml:space="preserve">ore </w:t>
      </w:r>
      <w:r w:rsidR="009F0A7B">
        <w:t>S</w:t>
      </w:r>
      <w:r w:rsidR="00F914C6">
        <w:t xml:space="preserve">trategy and </w:t>
      </w:r>
      <w:r w:rsidR="009F0A7B">
        <w:t>U</w:t>
      </w:r>
      <w:r w:rsidR="00F914C6">
        <w:t xml:space="preserve">rban </w:t>
      </w:r>
      <w:r w:rsidR="009F0A7B">
        <w:t>C</w:t>
      </w:r>
      <w:r w:rsidR="00F914C6">
        <w:t xml:space="preserve">ore </w:t>
      </w:r>
      <w:r w:rsidR="009F0A7B">
        <w:t>P</w:t>
      </w:r>
      <w:r w:rsidR="00F914C6">
        <w:t>lan (CSU</w:t>
      </w:r>
      <w:r w:rsidR="009F0A7B">
        <w:t>C</w:t>
      </w:r>
      <w:r w:rsidR="00F914C6">
        <w:t xml:space="preserve">P), and the </w:t>
      </w:r>
      <w:r w:rsidR="009F0A7B">
        <w:t>D</w:t>
      </w:r>
      <w:r w:rsidR="00F914C6">
        <w:t xml:space="preserve">evelopment and </w:t>
      </w:r>
      <w:r w:rsidR="009F0A7B">
        <w:t>A</w:t>
      </w:r>
      <w:r w:rsidR="00F914C6">
        <w:t xml:space="preserve">llocation </w:t>
      </w:r>
      <w:r w:rsidR="009F0A7B">
        <w:t>P</w:t>
      </w:r>
      <w:r w:rsidR="00F914C6">
        <w:t xml:space="preserve">lan (DAP). </w:t>
      </w:r>
      <w:r w:rsidR="00F914C6" w:rsidRPr="005868EE">
        <w:t xml:space="preserve">The </w:t>
      </w:r>
      <w:r w:rsidR="009D1331" w:rsidRPr="005868EE">
        <w:t xml:space="preserve">CSUCP </w:t>
      </w:r>
      <w:r w:rsidR="00F914C6">
        <w:t>2010 - 2030</w:t>
      </w:r>
      <w:r w:rsidR="00F914C6" w:rsidRPr="005868EE">
        <w:t xml:space="preserve"> is a strategic planning framework that guide</w:t>
      </w:r>
      <w:r w:rsidR="00F914C6">
        <w:t>s</w:t>
      </w:r>
      <w:r w:rsidR="00F914C6" w:rsidRPr="005868EE">
        <w:t xml:space="preserve"> development in Newcastle and Gateshead to 2030.</w:t>
      </w:r>
      <w:r w:rsidR="00F914C6">
        <w:t xml:space="preserve"> Air Quality is discussed under policy CS14 Wellbeing and Health. </w:t>
      </w:r>
      <w:r w:rsidR="00F914C6" w:rsidRPr="005868EE">
        <w:t xml:space="preserve">The </w:t>
      </w:r>
      <w:r w:rsidR="009D1331" w:rsidRPr="005868EE">
        <w:t>DAP</w:t>
      </w:r>
      <w:r w:rsidR="009D1331" w:rsidRPr="005868EE" w:rsidDel="009D1331">
        <w:t xml:space="preserve"> </w:t>
      </w:r>
      <w:r w:rsidR="00F914C6">
        <w:t>2015 - 2030</w:t>
      </w:r>
      <w:r w:rsidR="00F914C6" w:rsidRPr="005868EE">
        <w:t xml:space="preserve"> </w:t>
      </w:r>
      <w:r w:rsidR="00F914C6">
        <w:t xml:space="preserve"> provides more detailed policies to support growth ambitions for Newcastle. Air Quality is discussed under policy DM24 Environmental and Health Impacts of Development and DM32 Minerals Extraction and Reclamation.</w:t>
      </w:r>
      <w:r w:rsidR="00D07B60">
        <w:t xml:space="preserve"> </w:t>
      </w:r>
      <w:r>
        <w:t xml:space="preserve">These planning policies support the aims of the AQAP. </w:t>
      </w:r>
      <w:r w:rsidR="00D07B60">
        <w:t xml:space="preserve"> </w:t>
      </w:r>
    </w:p>
    <w:p w14:paraId="4EBC6BA2" w14:textId="36AA11A7" w:rsidR="00297301" w:rsidRDefault="00F914C6" w:rsidP="00F914C6">
      <w:pPr>
        <w:pStyle w:val="ListParagraph"/>
        <w:numPr>
          <w:ilvl w:val="0"/>
          <w:numId w:val="34"/>
        </w:numPr>
      </w:pPr>
      <w:r>
        <w:t xml:space="preserve">The Newcastle Movement Strategy is currently emerging, and will </w:t>
      </w:r>
      <w:r w:rsidRPr="00590FFC">
        <w:t>supplement the North East Transport Plan, the North East Combined Authority’s core strategy for transport, which sets out the regional ambitions up to 2040 as well as Newcastle and Gateshead’s Local Plan, which sets out how wider development and planning policy will help to shape the city in the coming years.</w:t>
      </w:r>
      <w:r>
        <w:t xml:space="preserve"> The Movement Strategy will guide transport development until 2045, creating a transport network that is efficient, safe, accessible and inclusive. One focus point is to improve the wider environment by reducing Newcastle’s carbon footprint. </w:t>
      </w:r>
      <w:r w:rsidR="00D07B60">
        <w:t>Therefore, this policy supports the aims of the AQAP in the transport space.</w:t>
      </w:r>
    </w:p>
    <w:p w14:paraId="1B5E1152" w14:textId="06D66C09" w:rsidR="00DE5D14" w:rsidRPr="00622F07" w:rsidRDefault="00F914C6" w:rsidP="00D04771">
      <w:pPr>
        <w:pStyle w:val="ListParagraph"/>
        <w:numPr>
          <w:ilvl w:val="0"/>
          <w:numId w:val="34"/>
        </w:numPr>
      </w:pPr>
      <w:r>
        <w:t xml:space="preserve">The Net Zero Newcastle 2030 action plan presents Newcastle’s view of how the city can achieve its ambition to be Net Zero carbon by 2030. </w:t>
      </w:r>
      <w:r w:rsidRPr="00F914C6">
        <w:t xml:space="preserve">The primary </w:t>
      </w:r>
      <w:r w:rsidRPr="00F914C6">
        <w:lastRenderedPageBreak/>
        <w:t>priority for Net Zero Newcastle is to focus on the immediate improvement to air quality that can be achieved by addressing harmful emissions by reducing the dominance of the private car on the city and facilitating a dramatic growth in active travel. The Priority Action T3 refers indirectly to air quality</w:t>
      </w:r>
      <w:r>
        <w:t>.</w:t>
      </w:r>
      <w:r w:rsidR="00D07B60">
        <w:t xml:space="preserve"> Therefore, this policy supports the aims of the AQAP in the climate space.</w:t>
      </w:r>
    </w:p>
    <w:p w14:paraId="4EED335E" w14:textId="77777777" w:rsidR="00C51F09" w:rsidRPr="002B4B5B" w:rsidRDefault="00C51F09" w:rsidP="00E351DA">
      <w:pPr>
        <w:pStyle w:val="Heading2"/>
        <w:numPr>
          <w:ilvl w:val="1"/>
          <w:numId w:val="11"/>
        </w:numPr>
      </w:pPr>
      <w:bookmarkStart w:id="51" w:name="_Toc222131865"/>
      <w:r w:rsidRPr="002B4B5B">
        <w:t>Source Apportionment</w:t>
      </w:r>
      <w:bookmarkEnd w:id="45"/>
      <w:bookmarkEnd w:id="46"/>
      <w:bookmarkEnd w:id="47"/>
      <w:bookmarkEnd w:id="51"/>
    </w:p>
    <w:p w14:paraId="7CD86F6B" w14:textId="40C1748E" w:rsidR="00C51F09" w:rsidRDefault="00C51F09" w:rsidP="0046508E">
      <w:r>
        <w:t>The AQAP measures presented in this report are intended to be targeted towards the predominant sources of emissions within</w:t>
      </w:r>
      <w:r w:rsidR="00EF1526">
        <w:t xml:space="preserve"> Newcastle City Council</w:t>
      </w:r>
      <w:r w:rsidRPr="00BE428E">
        <w:t>’s</w:t>
      </w:r>
      <w:r w:rsidRPr="00FC56B6">
        <w:t xml:space="preserve"> area.</w:t>
      </w:r>
      <w:r>
        <w:t xml:space="preserve"> </w:t>
      </w:r>
    </w:p>
    <w:p w14:paraId="163746A6" w14:textId="7BF9BBA7" w:rsidR="00C51F09" w:rsidRDefault="00C51F09" w:rsidP="0046508E">
      <w:r>
        <w:t>A source apportionment exercise was carried out by</w:t>
      </w:r>
      <w:r w:rsidR="00EF1526">
        <w:t xml:space="preserve"> Newcastle City Council</w:t>
      </w:r>
      <w:r>
        <w:rPr>
          <w:color w:val="FF0000"/>
        </w:rPr>
        <w:t xml:space="preserve"> </w:t>
      </w:r>
      <w:r w:rsidRPr="00FC56B6">
        <w:t xml:space="preserve">in </w:t>
      </w:r>
      <w:r w:rsidR="00EF1526" w:rsidRPr="00EF1526">
        <w:t>2025</w:t>
      </w:r>
      <w:r w:rsidRPr="00EF1526">
        <w:t xml:space="preserve">. </w:t>
      </w:r>
    </w:p>
    <w:p w14:paraId="57F6DE7B" w14:textId="2D2D5A00" w:rsidR="00EF1526" w:rsidRDefault="00EF1526" w:rsidP="0046508E">
      <w:r w:rsidRPr="00EF1526">
        <w:rPr>
          <w:rFonts w:eastAsia="Arial" w:cs="Arial"/>
          <w:kern w:val="18"/>
          <w:lang w:val="en-IE"/>
        </w:rPr>
        <w:t>NO</w:t>
      </w:r>
      <w:r w:rsidRPr="00EF1526">
        <w:rPr>
          <w:rFonts w:eastAsia="Arial" w:cs="Arial"/>
          <w:kern w:val="18"/>
          <w:vertAlign w:val="subscript"/>
          <w:lang w:val="en-IE"/>
        </w:rPr>
        <w:t>2</w:t>
      </w:r>
      <w:r w:rsidRPr="00EF1526">
        <w:t xml:space="preserve"> source</w:t>
      </w:r>
      <w:r>
        <w:t xml:space="preserve"> apportionment was carried out following LAQM.TG(22) guidance at </w:t>
      </w:r>
      <w:r w:rsidR="003878BD">
        <w:t xml:space="preserve">the two non-compliant locations, </w:t>
      </w:r>
      <w:r w:rsidR="00364465">
        <w:rPr>
          <w:lang w:val="en-US"/>
        </w:rPr>
        <w:t>Market Street</w:t>
      </w:r>
      <w:r w:rsidRPr="00EF1526">
        <w:t xml:space="preserve"> </w:t>
      </w:r>
      <w:r>
        <w:t>(DT8) and</w:t>
      </w:r>
      <w:r w:rsidR="00364465">
        <w:t xml:space="preserve"> St Mary’s Place</w:t>
      </w:r>
      <w:r>
        <w:t xml:space="preserve"> (</w:t>
      </w:r>
      <w:r w:rsidR="00364465" w:rsidRPr="00364465">
        <w:rPr>
          <w:lang w:val="en-US"/>
        </w:rPr>
        <w:t>DT5, DT115, DT116</w:t>
      </w:r>
      <w:r>
        <w:t xml:space="preserve">) using traffic count data </w:t>
      </w:r>
      <w:r w:rsidR="00581E8F">
        <w:t>for those roads for 2024 and ANPR fleet analysis data, alongside background pollutant concentration data from D</w:t>
      </w:r>
      <w:r w:rsidR="009D1331">
        <w:t>EFRA</w:t>
      </w:r>
      <w:r w:rsidR="00581E8F">
        <w:t>.</w:t>
      </w:r>
      <w:r w:rsidR="00581E8F" w:rsidRPr="00E43D8C">
        <w:t xml:space="preserve"> </w:t>
      </w:r>
      <w:r w:rsidR="00E43D8C" w:rsidRPr="00E43D8C">
        <w:t xml:space="preserve">Only those two sites were considered as they exceeded the air quality objective for annual mean </w:t>
      </w:r>
      <w:r w:rsidR="00E43D8C" w:rsidRPr="00E43D8C">
        <w:rPr>
          <w:rFonts w:eastAsia="Arial" w:cs="Arial"/>
          <w:kern w:val="18"/>
          <w:lang w:val="en-IE"/>
        </w:rPr>
        <w:t>NO</w:t>
      </w:r>
      <w:r w:rsidR="00E43D8C" w:rsidRPr="00E43D8C">
        <w:rPr>
          <w:rFonts w:eastAsia="Arial" w:cs="Arial"/>
          <w:kern w:val="18"/>
          <w:vertAlign w:val="subscript"/>
          <w:lang w:val="en-IE"/>
        </w:rPr>
        <w:t>2</w:t>
      </w:r>
      <w:r w:rsidR="00E43D8C" w:rsidRPr="00E43D8C">
        <w:t xml:space="preserve"> in 2024</w:t>
      </w:r>
      <w:r w:rsidR="00364465">
        <w:t>. Furthermore, Stephenson Road (DT81) was also considered as recorded annual mean NO</w:t>
      </w:r>
      <w:r w:rsidR="00364465" w:rsidRPr="00EB0567">
        <w:rPr>
          <w:vertAlign w:val="subscript"/>
        </w:rPr>
        <w:t>2</w:t>
      </w:r>
      <w:r w:rsidR="00364465">
        <w:t xml:space="preserve"> concentration indicates a potential exceedance of the hourly mean NO</w:t>
      </w:r>
      <w:r w:rsidR="00364465" w:rsidRPr="00EB0567">
        <w:rPr>
          <w:vertAlign w:val="subscript"/>
        </w:rPr>
        <w:t>2</w:t>
      </w:r>
      <w:r w:rsidR="00364465">
        <w:t xml:space="preserve"> exceedance.</w:t>
      </w:r>
    </w:p>
    <w:p w14:paraId="7066AE99" w14:textId="6357C390" w:rsidR="00C80F6B" w:rsidRDefault="00C80F6B" w:rsidP="0046508E">
      <w:r>
        <w:t>PM</w:t>
      </w:r>
      <w:r w:rsidRPr="00D04771">
        <w:rPr>
          <w:vertAlign w:val="subscript"/>
        </w:rPr>
        <w:t>2.5</w:t>
      </w:r>
      <w:r>
        <w:t xml:space="preserve"> and PM</w:t>
      </w:r>
      <w:r w:rsidRPr="00D04771">
        <w:rPr>
          <w:vertAlign w:val="subscript"/>
        </w:rPr>
        <w:t>10</w:t>
      </w:r>
      <w:r>
        <w:t xml:space="preserve"> source </w:t>
      </w:r>
      <w:r w:rsidR="005A2222">
        <w:t>apportionment has also been carried out at the Cradlewell and Newcastle Centre CMS sites where data is available.</w:t>
      </w:r>
    </w:p>
    <w:p w14:paraId="5E9AA424" w14:textId="1A164E52" w:rsidR="00581E8F" w:rsidRDefault="00581E8F" w:rsidP="0046508E">
      <w:r>
        <w:t>Full details on the source apportionment exercise and its outcomes are summarised below.</w:t>
      </w:r>
    </w:p>
    <w:p w14:paraId="5058EC47" w14:textId="6AC126B7" w:rsidR="00581E8F" w:rsidRDefault="00581E8F" w:rsidP="00DF643F">
      <w:pPr>
        <w:pStyle w:val="Heading3"/>
        <w:ind w:left="567"/>
      </w:pPr>
      <w:bookmarkStart w:id="52" w:name="_Ref204859965"/>
      <w:bookmarkStart w:id="53" w:name="_Toc222131866"/>
      <w:r>
        <w:t>Automatic Number Plate Recognition Analysis</w:t>
      </w:r>
      <w:bookmarkEnd w:id="52"/>
      <w:bookmarkEnd w:id="53"/>
      <w:r>
        <w:t xml:space="preserve"> </w:t>
      </w:r>
    </w:p>
    <w:p w14:paraId="3C1D6E0F" w14:textId="3FE27702" w:rsidR="00581E8F" w:rsidRDefault="00581E8F" w:rsidP="00581E8F">
      <w:r>
        <w:t xml:space="preserve">An Automatic Number Plate Recognition (ANPR) survey was undertaken on </w:t>
      </w:r>
      <w:r w:rsidR="009774D5">
        <w:t>Market Street, St Mary’s Place and Stephenson Road</w:t>
      </w:r>
      <w:r w:rsidR="009D1331">
        <w:t xml:space="preserve"> </w:t>
      </w:r>
      <w:r>
        <w:t>in July 2024</w:t>
      </w:r>
      <w:r w:rsidR="001663A8">
        <w:t>, which has</w:t>
      </w:r>
      <w:r>
        <w:t xml:space="preserve"> inform</w:t>
      </w:r>
      <w:r w:rsidR="001663A8">
        <w:t>ed</w:t>
      </w:r>
      <w:r>
        <w:t xml:space="preserve"> this AQAP. These data were used to determine fleet breakdown by Euro classification. The Euro classification is based on the vehicle age and reflect compliance with increasingly stringent emissions standards in newer vehicles and is therefore directly related to the emissions produced by the fleet.</w:t>
      </w:r>
    </w:p>
    <w:p w14:paraId="508783BD" w14:textId="48558B4A" w:rsidR="00AB2FB7" w:rsidRDefault="00AB2FB7" w:rsidP="00581E8F">
      <w:r>
        <w:t xml:space="preserve">Where the ANPR records did not include counts of specific vehicles, such as taxis, </w:t>
      </w:r>
      <w:r w:rsidRPr="00AB2FB7">
        <w:t xml:space="preserve">hybrid buses and conventional/hybrid coaches, then the Euro classification for these </w:t>
      </w:r>
      <w:r w:rsidRPr="00AB2FB7">
        <w:lastRenderedPageBreak/>
        <w:t>vehicle types was based on the default data in DEFRA’s Emissions Factors Toolkit (EFT) v13</w:t>
      </w:r>
      <w:r>
        <w:t>.1</w:t>
      </w:r>
      <w:r w:rsidRPr="00AB2FB7">
        <w:rPr>
          <w:vertAlign w:val="superscript"/>
        </w:rPr>
        <w:footnoteReference w:id="10"/>
      </w:r>
      <w:r w:rsidRPr="00AB2FB7">
        <w:t>, which is the standard tool for emissions modelling in the UK</w:t>
      </w:r>
      <w:r>
        <w:t xml:space="preserve">. </w:t>
      </w:r>
    </w:p>
    <w:p w14:paraId="27C283B3" w14:textId="66A0B0F0" w:rsidR="00AB2FB7" w:rsidRDefault="00AB2FB7" w:rsidP="00581E8F">
      <w:r>
        <w:t xml:space="preserve">The 2024 ANPR fleet is compared to the default EFT v13.1 fleet </w:t>
      </w:r>
      <w:r w:rsidR="00EB6902">
        <w:t xml:space="preserve">in </w:t>
      </w:r>
      <w:r w:rsidR="001826D2">
        <w:fldChar w:fldCharType="begin"/>
      </w:r>
      <w:r w:rsidR="001826D2">
        <w:instrText xml:space="preserve"> REF _Ref209771973 \h </w:instrText>
      </w:r>
      <w:r w:rsidR="001826D2">
        <w:fldChar w:fldCharType="separate"/>
      </w:r>
      <w:r w:rsidR="001826D2">
        <w:t xml:space="preserve">Figure </w:t>
      </w:r>
      <w:r w:rsidR="001826D2">
        <w:rPr>
          <w:noProof/>
        </w:rPr>
        <w:t>3</w:t>
      </w:r>
      <w:r w:rsidR="001826D2">
        <w:t>.</w:t>
      </w:r>
      <w:r w:rsidR="001826D2">
        <w:rPr>
          <w:noProof/>
        </w:rPr>
        <w:t>1</w:t>
      </w:r>
      <w:r w:rsidR="001826D2">
        <w:fldChar w:fldCharType="end"/>
      </w:r>
      <w:r w:rsidR="00EB6902">
        <w:t xml:space="preserve">and </w:t>
      </w:r>
      <w:r w:rsidR="001826D2">
        <w:fldChar w:fldCharType="begin"/>
      </w:r>
      <w:r w:rsidR="001826D2">
        <w:instrText xml:space="preserve"> REF _Ref209772015 \h </w:instrText>
      </w:r>
      <w:r w:rsidR="001826D2">
        <w:fldChar w:fldCharType="separate"/>
      </w:r>
      <w:r w:rsidR="001826D2">
        <w:t xml:space="preserve">Figure </w:t>
      </w:r>
      <w:r w:rsidR="001826D2">
        <w:rPr>
          <w:noProof/>
        </w:rPr>
        <w:t>3</w:t>
      </w:r>
      <w:r w:rsidR="001826D2">
        <w:t>.</w:t>
      </w:r>
      <w:r w:rsidR="001826D2">
        <w:rPr>
          <w:noProof/>
        </w:rPr>
        <w:t>2</w:t>
      </w:r>
      <w:r w:rsidR="001826D2">
        <w:fldChar w:fldCharType="end"/>
      </w:r>
      <w:r w:rsidR="001826D2">
        <w:t xml:space="preserve"> </w:t>
      </w:r>
      <w:r w:rsidR="00EB6902">
        <w:t xml:space="preserve">below. It can be seen that overall, the Newcastle petrol car fleet is similar to the national fleet. Newcastle has slightly more Euro 4 petrol cars with 10.9% compared to the national fleet with 9.5%. For diesel cars it can be seen that the Newcastle fleet is ahead of the national fleet in regard to Euro 6 with 65.3% and 55.0%, respectively. </w:t>
      </w:r>
    </w:p>
    <w:p w14:paraId="035A81A2" w14:textId="763922F2" w:rsidR="00EB6902" w:rsidRDefault="00706E5A" w:rsidP="00581E8F">
      <w:r>
        <w:t xml:space="preserve">Similarly, LGVs and rigid HGVs are slightly newer than the national fleet, with 76.2% of diesel LGVs being Euro 6 (against a national 74.9%) and 92.8% of rigid HGVs (against a national 86.9%). </w:t>
      </w:r>
      <w:r w:rsidR="001663A8">
        <w:t>This may be as a result of the CAZ. T</w:t>
      </w:r>
      <w:r>
        <w:t>he articulated fleet is more consistent with the national distribution, which may be expected as these tend to operate over larger distances and on the strategic road network.</w:t>
      </w:r>
    </w:p>
    <w:p w14:paraId="1037FE75" w14:textId="088C3B0E" w:rsidR="00706E5A" w:rsidRDefault="00706E5A" w:rsidP="00581E8F">
      <w:r>
        <w:t xml:space="preserve">The local bus fleet is expected to differ from the national fleet published in the EFT as it will be subject to unique commercial operating constraints. However, when compared to the EFT it is clear that the local fleet recorded in the counts is slightly lagging behind the national fleet due to a higher proportion being Euro V with 44.2% (against a national 18.7%). </w:t>
      </w:r>
      <w:r w:rsidR="00041511">
        <w:t>Buses are a key priority area for this AQAP as both remaining exceeding locations are on busy bus routes/close to bus stops.</w:t>
      </w:r>
    </w:p>
    <w:p w14:paraId="349FF15B" w14:textId="77777777" w:rsidR="001826D2" w:rsidRDefault="001826D2" w:rsidP="00581E8F"/>
    <w:p w14:paraId="6BEF016C" w14:textId="77777777" w:rsidR="001826D2" w:rsidRDefault="001826D2" w:rsidP="00581E8F"/>
    <w:p w14:paraId="332811B7" w14:textId="77777777" w:rsidR="001826D2" w:rsidRDefault="001826D2" w:rsidP="00581E8F"/>
    <w:p w14:paraId="56AD88D4" w14:textId="77777777" w:rsidR="001826D2" w:rsidRDefault="001826D2" w:rsidP="00581E8F"/>
    <w:p w14:paraId="4A31094C" w14:textId="77777777" w:rsidR="001826D2" w:rsidRDefault="001826D2" w:rsidP="00581E8F"/>
    <w:p w14:paraId="0440D488" w14:textId="77777777" w:rsidR="001826D2" w:rsidRDefault="001826D2" w:rsidP="00581E8F"/>
    <w:p w14:paraId="50A146C4" w14:textId="77777777" w:rsidR="001826D2" w:rsidRDefault="001826D2" w:rsidP="00581E8F"/>
    <w:p w14:paraId="4E6E4D07" w14:textId="77777777" w:rsidR="001826D2" w:rsidRDefault="001826D2" w:rsidP="00581E8F"/>
    <w:p w14:paraId="4BE594F9" w14:textId="77777777" w:rsidR="001826D2" w:rsidRDefault="001826D2" w:rsidP="00581E8F"/>
    <w:p w14:paraId="601F165B" w14:textId="77777777" w:rsidR="001826D2" w:rsidRDefault="001826D2" w:rsidP="00581E8F"/>
    <w:p w14:paraId="5B4CC3EB" w14:textId="31FDD9EF" w:rsidR="00EB6902" w:rsidRDefault="00EB6902" w:rsidP="00581E8F">
      <w:pPr>
        <w:rPr>
          <w:noProof/>
        </w:rPr>
      </w:pPr>
      <w:r>
        <w:rPr>
          <w:noProof/>
        </w:rPr>
        <w:drawing>
          <wp:inline distT="0" distB="0" distL="0" distR="0" wp14:anchorId="338C040D" wp14:editId="1697E0EF">
            <wp:extent cx="2872740" cy="2476500"/>
            <wp:effectExtent l="0" t="0" r="3810" b="0"/>
            <wp:docPr id="599361580" name="Chart 1">
              <a:extLst xmlns:a="http://schemas.openxmlformats.org/drawingml/2006/main">
                <a:ext uri="{FF2B5EF4-FFF2-40B4-BE49-F238E27FC236}">
                  <a16:creationId xmlns:a16="http://schemas.microsoft.com/office/drawing/2014/main" id="{0298E21E-A8DE-46FE-E015-48FB3DA46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EB6902">
        <w:rPr>
          <w:noProof/>
        </w:rPr>
        <w:t xml:space="preserve"> </w:t>
      </w:r>
      <w:r>
        <w:rPr>
          <w:noProof/>
        </w:rPr>
        <w:drawing>
          <wp:inline distT="0" distB="0" distL="0" distR="0" wp14:anchorId="1D15FFB4" wp14:editId="0B0BD6F8">
            <wp:extent cx="2720340" cy="2468880"/>
            <wp:effectExtent l="0" t="0" r="3810" b="7620"/>
            <wp:docPr id="1499456096" name="Chart 1">
              <a:extLst xmlns:a="http://schemas.openxmlformats.org/drawingml/2006/main">
                <a:ext uri="{FF2B5EF4-FFF2-40B4-BE49-F238E27FC236}">
                  <a16:creationId xmlns:a16="http://schemas.microsoft.com/office/drawing/2014/main" id="{6EAE8CB6-D193-10ED-AAAB-4E5E628A62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446856" w14:textId="1098ACF7" w:rsidR="00EB6902" w:rsidRDefault="00EB6902" w:rsidP="00581E8F">
      <w:pPr>
        <w:rPr>
          <w:noProof/>
        </w:rPr>
      </w:pPr>
      <w:r>
        <w:rPr>
          <w:noProof/>
        </w:rPr>
        <w:drawing>
          <wp:inline distT="0" distB="0" distL="0" distR="0" wp14:anchorId="00836326" wp14:editId="6B4CF215">
            <wp:extent cx="2865120" cy="2598420"/>
            <wp:effectExtent l="0" t="0" r="11430" b="11430"/>
            <wp:docPr id="1663185055" name="Chart 1">
              <a:extLst xmlns:a="http://schemas.openxmlformats.org/drawingml/2006/main">
                <a:ext uri="{FF2B5EF4-FFF2-40B4-BE49-F238E27FC236}">
                  <a16:creationId xmlns:a16="http://schemas.microsoft.com/office/drawing/2014/main" id="{7870E1BC-77BD-6C0A-2F41-9C07F30D3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B6902">
        <w:rPr>
          <w:noProof/>
        </w:rPr>
        <w:t xml:space="preserve"> </w:t>
      </w:r>
      <w:r>
        <w:rPr>
          <w:noProof/>
        </w:rPr>
        <w:drawing>
          <wp:inline distT="0" distB="0" distL="0" distR="0" wp14:anchorId="23746869" wp14:editId="3D0DDB83">
            <wp:extent cx="2712720" cy="2598420"/>
            <wp:effectExtent l="0" t="0" r="11430" b="11430"/>
            <wp:docPr id="358647477" name="Chart 1">
              <a:extLst xmlns:a="http://schemas.openxmlformats.org/drawingml/2006/main">
                <a:ext uri="{FF2B5EF4-FFF2-40B4-BE49-F238E27FC236}">
                  <a16:creationId xmlns:a16="http://schemas.microsoft.com/office/drawing/2014/main" id="{B6938821-3EBC-3D4D-6B68-4EA043823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A5EBF6" w14:textId="0721AD0F" w:rsidR="001826D2" w:rsidRDefault="001826D2" w:rsidP="001826D2">
      <w:pPr>
        <w:pStyle w:val="Caption"/>
        <w:rPr>
          <w:b w:val="0"/>
          <w:bCs w:val="0"/>
        </w:rPr>
      </w:pPr>
      <w:bookmarkStart w:id="54" w:name="_Ref209771973"/>
      <w:bookmarkStart w:id="55" w:name="_Toc222131918"/>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1</w:t>
      </w:r>
      <w:r w:rsidR="00946EE5">
        <w:fldChar w:fldCharType="end"/>
      </w:r>
      <w:bookmarkEnd w:id="54"/>
      <w:r>
        <w:t xml:space="preserve"> - Car Euro Classification, ANPR and EFT v13.1, 2024</w:t>
      </w:r>
      <w:bookmarkEnd w:id="55"/>
    </w:p>
    <w:p w14:paraId="4533ABB9" w14:textId="77777777" w:rsidR="001826D2" w:rsidRDefault="001826D2" w:rsidP="00EB6902">
      <w:pPr>
        <w:rPr>
          <w:b/>
          <w:bCs/>
          <w:color w:val="006726"/>
        </w:rPr>
      </w:pPr>
    </w:p>
    <w:p w14:paraId="0081DA47" w14:textId="77777777" w:rsidR="001826D2" w:rsidRDefault="001826D2" w:rsidP="00EB6902">
      <w:pPr>
        <w:rPr>
          <w:b/>
          <w:bCs/>
          <w:color w:val="006726"/>
        </w:rPr>
      </w:pPr>
    </w:p>
    <w:p w14:paraId="322B0F2C" w14:textId="77777777" w:rsidR="001826D2" w:rsidRDefault="001826D2" w:rsidP="00EB6902">
      <w:pPr>
        <w:rPr>
          <w:b/>
          <w:bCs/>
          <w:color w:val="006726"/>
        </w:rPr>
      </w:pPr>
    </w:p>
    <w:p w14:paraId="4680FB3A" w14:textId="02C90A57" w:rsidR="00EB6902" w:rsidRDefault="00EB6902" w:rsidP="00EB6902">
      <w:pPr>
        <w:rPr>
          <w:noProof/>
        </w:rPr>
      </w:pPr>
      <w:r>
        <w:rPr>
          <w:noProof/>
        </w:rPr>
        <w:lastRenderedPageBreak/>
        <w:drawing>
          <wp:inline distT="0" distB="0" distL="0" distR="0" wp14:anchorId="5AF9CA4A" wp14:editId="3462381F">
            <wp:extent cx="2880360" cy="2461260"/>
            <wp:effectExtent l="0" t="0" r="15240" b="15240"/>
            <wp:docPr id="919481334" name="Chart 1">
              <a:extLst xmlns:a="http://schemas.openxmlformats.org/drawingml/2006/main">
                <a:ext uri="{FF2B5EF4-FFF2-40B4-BE49-F238E27FC236}">
                  <a16:creationId xmlns:a16="http://schemas.microsoft.com/office/drawing/2014/main" id="{7EE6C13D-19BA-838C-06F6-BA6EC08E5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EB6902">
        <w:rPr>
          <w:noProof/>
        </w:rPr>
        <w:t xml:space="preserve"> </w:t>
      </w:r>
      <w:r>
        <w:rPr>
          <w:noProof/>
        </w:rPr>
        <w:drawing>
          <wp:inline distT="0" distB="0" distL="0" distR="0" wp14:anchorId="7FED0637" wp14:editId="2CD38B3A">
            <wp:extent cx="2819400" cy="2468880"/>
            <wp:effectExtent l="0" t="0" r="0" b="7620"/>
            <wp:docPr id="503905308" name="Chart 1">
              <a:extLst xmlns:a="http://schemas.openxmlformats.org/drawingml/2006/main">
                <a:ext uri="{FF2B5EF4-FFF2-40B4-BE49-F238E27FC236}">
                  <a16:creationId xmlns:a16="http://schemas.microsoft.com/office/drawing/2014/main" id="{1A64BAB9-892D-2D42-839B-1D91AF8C4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B8E388" w14:textId="4D90AFC8" w:rsidR="00EB6902" w:rsidRDefault="00EB6902" w:rsidP="00EB6902">
      <w:pPr>
        <w:rPr>
          <w:b/>
          <w:bCs/>
          <w:color w:val="385623" w:themeColor="accent6" w:themeShade="80"/>
        </w:rPr>
      </w:pPr>
      <w:r>
        <w:rPr>
          <w:noProof/>
        </w:rPr>
        <w:drawing>
          <wp:inline distT="0" distB="0" distL="0" distR="0" wp14:anchorId="64A70716" wp14:editId="3D4FFC0C">
            <wp:extent cx="2834640" cy="2537460"/>
            <wp:effectExtent l="0" t="0" r="3810" b="15240"/>
            <wp:docPr id="313558673" name="Chart 1">
              <a:extLst xmlns:a="http://schemas.openxmlformats.org/drawingml/2006/main">
                <a:ext uri="{FF2B5EF4-FFF2-40B4-BE49-F238E27FC236}">
                  <a16:creationId xmlns:a16="http://schemas.microsoft.com/office/drawing/2014/main" id="{76F178E1-38F8-9105-B2D1-AA5091C28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EB6902">
        <w:rPr>
          <w:noProof/>
        </w:rPr>
        <w:t xml:space="preserve"> </w:t>
      </w:r>
      <w:r>
        <w:rPr>
          <w:noProof/>
        </w:rPr>
        <w:drawing>
          <wp:inline distT="0" distB="0" distL="0" distR="0" wp14:anchorId="03E3526C" wp14:editId="6233F947">
            <wp:extent cx="2849880" cy="2537460"/>
            <wp:effectExtent l="0" t="0" r="7620" b="15240"/>
            <wp:docPr id="245539130" name="Chart 1">
              <a:extLst xmlns:a="http://schemas.openxmlformats.org/drawingml/2006/main">
                <a:ext uri="{FF2B5EF4-FFF2-40B4-BE49-F238E27FC236}">
                  <a16:creationId xmlns:a16="http://schemas.microsoft.com/office/drawing/2014/main" id="{72A4EBE1-AD09-E763-897D-BF269D9FD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A5911D8" w14:textId="577EF4CC" w:rsidR="001826D2" w:rsidRDefault="001826D2" w:rsidP="001826D2">
      <w:pPr>
        <w:pStyle w:val="Caption"/>
        <w:rPr>
          <w:b w:val="0"/>
          <w:bCs w:val="0"/>
        </w:rPr>
      </w:pPr>
      <w:bookmarkStart w:id="56" w:name="_Ref209772015"/>
      <w:bookmarkStart w:id="57" w:name="_Toc222131919"/>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2</w:t>
      </w:r>
      <w:r w:rsidR="00946EE5">
        <w:fldChar w:fldCharType="end"/>
      </w:r>
      <w:bookmarkEnd w:id="56"/>
      <w:r>
        <w:t xml:space="preserve"> - LGV, HGV and Bus Euro Classification, ANPR and EFT v13.1, 2024</w:t>
      </w:r>
      <w:bookmarkEnd w:id="57"/>
    </w:p>
    <w:p w14:paraId="5659B737" w14:textId="77777777" w:rsidR="001A59CC" w:rsidRDefault="001A59CC">
      <w:pPr>
        <w:spacing w:before="0" w:after="0" w:line="240" w:lineRule="auto"/>
        <w:rPr>
          <w:b/>
          <w:bCs/>
          <w:color w:val="006726"/>
        </w:rPr>
      </w:pPr>
      <w:r>
        <w:rPr>
          <w:b/>
          <w:bCs/>
          <w:color w:val="006726"/>
        </w:rPr>
        <w:br w:type="page"/>
      </w:r>
    </w:p>
    <w:p w14:paraId="007FEC77" w14:textId="0E7DBBAE" w:rsidR="00AB2FB7" w:rsidRDefault="00AB2FB7" w:rsidP="00DF643F">
      <w:pPr>
        <w:pStyle w:val="Heading3"/>
        <w:ind w:left="567"/>
      </w:pPr>
      <w:bookmarkStart w:id="58" w:name="_Toc222131867"/>
      <w:r>
        <w:lastRenderedPageBreak/>
        <w:t>Road Traffic Data Source Apport</w:t>
      </w:r>
      <w:r w:rsidRPr="00AB2FB7">
        <w:rPr>
          <w:szCs w:val="24"/>
        </w:rPr>
        <w:t xml:space="preserve">ionment </w:t>
      </w:r>
      <w:r w:rsidRPr="00AB2FB7">
        <w:rPr>
          <w:rFonts w:eastAsia="Arial"/>
          <w:kern w:val="18"/>
          <w:szCs w:val="24"/>
          <w:lang w:val="en-IE"/>
        </w:rPr>
        <w:t>NO</w:t>
      </w:r>
      <w:r w:rsidRPr="00AB2FB7">
        <w:rPr>
          <w:rFonts w:eastAsia="Arial"/>
          <w:kern w:val="18"/>
          <w:szCs w:val="24"/>
          <w:vertAlign w:val="subscript"/>
          <w:lang w:val="en-IE"/>
        </w:rPr>
        <w:t>2</w:t>
      </w:r>
      <w:bookmarkEnd w:id="58"/>
      <w:r>
        <w:t xml:space="preserve"> </w:t>
      </w:r>
    </w:p>
    <w:p w14:paraId="270ADFC5" w14:textId="07E41615" w:rsidR="001A59CC" w:rsidRDefault="00AB2FB7" w:rsidP="00AB2FB7">
      <w:r>
        <w:t xml:space="preserve">Analysis of emissions </w:t>
      </w:r>
      <w:r w:rsidR="00E868CC">
        <w:t xml:space="preserve">at </w:t>
      </w:r>
      <w:r w:rsidR="009774D5">
        <w:t>DT8 Market Street, DT5/115/116 St Mary’s Place and DT81 Stephenson Road</w:t>
      </w:r>
      <w:r w:rsidR="00E868CC">
        <w:t xml:space="preserve"> </w:t>
      </w:r>
      <w:r>
        <w:t xml:space="preserve">has been undertaken using the EFT v13.1 and local fleet data for 2024 to determine the main </w:t>
      </w:r>
      <w:r w:rsidRPr="00EB179C">
        <w:t xml:space="preserve">vehicle contributions of </w:t>
      </w:r>
      <w:r w:rsidR="00041511" w:rsidRPr="00EB179C">
        <w:t>NO</w:t>
      </w:r>
      <w:r w:rsidR="00041511">
        <w:rPr>
          <w:vertAlign w:val="subscript"/>
        </w:rPr>
        <w:t>2</w:t>
      </w:r>
      <w:r w:rsidRPr="00EB179C">
        <w:t xml:space="preserve">. </w:t>
      </w:r>
    </w:p>
    <w:p w14:paraId="4222AAD4" w14:textId="6F4D3156" w:rsidR="009774D5" w:rsidRDefault="009774D5" w:rsidP="009774D5">
      <w:pPr>
        <w:rPr>
          <w:b/>
          <w:bCs/>
          <w:color w:val="006726"/>
        </w:rPr>
      </w:pPr>
      <w:r>
        <w:rPr>
          <w:b/>
          <w:bCs/>
          <w:color w:val="006726"/>
        </w:rPr>
        <w:t>Market Street</w:t>
      </w:r>
    </w:p>
    <w:p w14:paraId="388A2988" w14:textId="542FD681" w:rsidR="00EB0567" w:rsidRPr="001826D2" w:rsidRDefault="001826D2" w:rsidP="009774D5">
      <w:r>
        <w:fldChar w:fldCharType="begin"/>
      </w:r>
      <w:r>
        <w:instrText xml:space="preserve"> REF _Ref209772193 \h </w:instrText>
      </w:r>
      <w:r>
        <w:fldChar w:fldCharType="separate"/>
      </w:r>
      <w:r>
        <w:t xml:space="preserve">Figure </w:t>
      </w:r>
      <w:r>
        <w:rPr>
          <w:noProof/>
        </w:rPr>
        <w:t>3</w:t>
      </w:r>
      <w:r>
        <w:t>.</w:t>
      </w:r>
      <w:r>
        <w:rPr>
          <w:noProof/>
        </w:rPr>
        <w:t>3</w:t>
      </w:r>
      <w:r>
        <w:fldChar w:fldCharType="end"/>
      </w:r>
      <w:r>
        <w:t xml:space="preserve"> </w:t>
      </w:r>
      <w:r w:rsidR="00EB0567">
        <w:t xml:space="preserve">shows that the direct road contribution accounts for 58% (22.4 </w:t>
      </w:r>
      <w:r w:rsidR="00EB0567" w:rsidRPr="00EB179C">
        <w:rPr>
          <w:rFonts w:eastAsia="Arial" w:cs="Arial"/>
          <w:kern w:val="18"/>
          <w:lang w:val="en-IE"/>
        </w:rPr>
        <w:t>µg/m</w:t>
      </w:r>
      <w:r w:rsidR="00EB0567" w:rsidRPr="00EB179C">
        <w:rPr>
          <w:rFonts w:eastAsia="Arial" w:cs="Arial"/>
          <w:kern w:val="18"/>
          <w:vertAlign w:val="superscript"/>
          <w:lang w:val="en-IE"/>
        </w:rPr>
        <w:t>3</w:t>
      </w:r>
      <w:r w:rsidR="00EB0567">
        <w:rPr>
          <w:rFonts w:eastAsia="Arial" w:cs="Arial"/>
          <w:kern w:val="18"/>
          <w:lang w:val="en-IE"/>
        </w:rPr>
        <w:t>) of total average NO</w:t>
      </w:r>
      <w:r w:rsidR="00EB0567" w:rsidRPr="001826D2">
        <w:rPr>
          <w:rFonts w:eastAsia="Arial" w:cs="Arial"/>
          <w:kern w:val="18"/>
          <w:vertAlign w:val="subscript"/>
          <w:lang w:val="en-IE"/>
        </w:rPr>
        <w:t>2</w:t>
      </w:r>
      <w:r w:rsidR="00EB0567">
        <w:rPr>
          <w:rFonts w:eastAsia="Arial" w:cs="Arial"/>
          <w:kern w:val="18"/>
          <w:lang w:val="en-IE"/>
        </w:rPr>
        <w:t xml:space="preserve"> with buses representing the largest proportion</w:t>
      </w:r>
      <w:r w:rsidR="00A03BF7">
        <w:rPr>
          <w:rFonts w:eastAsia="Arial" w:cs="Arial"/>
          <w:kern w:val="18"/>
          <w:lang w:val="en-IE"/>
        </w:rPr>
        <w:t xml:space="preserve"> with 50% (19.2 </w:t>
      </w:r>
      <w:r w:rsidR="00A03BF7" w:rsidRPr="00EB179C">
        <w:rPr>
          <w:rFonts w:eastAsia="Arial" w:cs="Arial"/>
          <w:kern w:val="18"/>
          <w:lang w:val="en-IE"/>
        </w:rPr>
        <w:t>µg/m</w:t>
      </w:r>
      <w:r w:rsidR="00A03BF7" w:rsidRPr="00EB179C">
        <w:rPr>
          <w:rFonts w:eastAsia="Arial" w:cs="Arial"/>
          <w:kern w:val="18"/>
          <w:vertAlign w:val="superscript"/>
          <w:lang w:val="en-IE"/>
        </w:rPr>
        <w:t>3</w:t>
      </w:r>
      <w:r w:rsidR="00A03BF7">
        <w:rPr>
          <w:rFonts w:eastAsia="Arial" w:cs="Arial"/>
          <w:kern w:val="18"/>
          <w:lang w:val="en-IE"/>
        </w:rPr>
        <w:t xml:space="preserve">), followed by diesel cars with 5% (1.8 </w:t>
      </w:r>
      <w:r w:rsidR="00A03BF7" w:rsidRPr="00EB179C">
        <w:rPr>
          <w:rFonts w:eastAsia="Arial" w:cs="Arial"/>
          <w:kern w:val="18"/>
          <w:lang w:val="en-IE"/>
        </w:rPr>
        <w:t>µg/m</w:t>
      </w:r>
      <w:r w:rsidR="00A03BF7" w:rsidRPr="00EB179C">
        <w:rPr>
          <w:rFonts w:eastAsia="Arial" w:cs="Arial"/>
          <w:kern w:val="18"/>
          <w:vertAlign w:val="superscript"/>
          <w:lang w:val="en-IE"/>
        </w:rPr>
        <w:t>3</w:t>
      </w:r>
      <w:r w:rsidR="00A03BF7">
        <w:rPr>
          <w:rFonts w:eastAsia="Arial" w:cs="Arial"/>
          <w:kern w:val="18"/>
          <w:lang w:val="en-IE"/>
        </w:rPr>
        <w:t>) of total NO</w:t>
      </w:r>
      <w:r w:rsidR="00A03BF7" w:rsidRPr="001826D2">
        <w:rPr>
          <w:rFonts w:eastAsia="Arial" w:cs="Arial"/>
          <w:kern w:val="18"/>
          <w:vertAlign w:val="subscript"/>
          <w:lang w:val="en-IE"/>
        </w:rPr>
        <w:t>2</w:t>
      </w:r>
      <w:r w:rsidR="00A03BF7">
        <w:rPr>
          <w:rFonts w:eastAsia="Arial" w:cs="Arial"/>
          <w:kern w:val="18"/>
          <w:lang w:val="en-IE"/>
        </w:rPr>
        <w:t xml:space="preserve"> measured concentration at Market Street. Regional background, </w:t>
      </w:r>
      <w:r w:rsidR="00205385">
        <w:t>NO</w:t>
      </w:r>
      <w:r w:rsidR="00205385" w:rsidRPr="00DF643F">
        <w:rPr>
          <w:vertAlign w:val="subscript"/>
        </w:rPr>
        <w:t>2</w:t>
      </w:r>
      <w:r w:rsidR="00205385">
        <w:t xml:space="preserve"> </w:t>
      </w:r>
      <w:r w:rsidR="00A03BF7">
        <w:t>transported into an area by the wind from further awa</w:t>
      </w:r>
      <w:r w:rsidR="00A03BF7" w:rsidRPr="002D6860">
        <w:t xml:space="preserve">y, accounts for </w:t>
      </w:r>
      <w:r w:rsidR="00A03BF7">
        <w:t>15</w:t>
      </w:r>
      <w:r w:rsidR="00A03BF7" w:rsidRPr="002D6860">
        <w:t xml:space="preserve">% (5.7 </w:t>
      </w:r>
      <w:r w:rsidR="00A03BF7" w:rsidRPr="002D6860">
        <w:rPr>
          <w:rFonts w:eastAsia="Arial" w:cs="Arial"/>
          <w:kern w:val="18"/>
          <w:lang w:val="en-IE"/>
        </w:rPr>
        <w:t>µg/m</w:t>
      </w:r>
      <w:r w:rsidR="00A03BF7" w:rsidRPr="002D6860">
        <w:rPr>
          <w:rFonts w:eastAsia="Arial" w:cs="Arial"/>
          <w:kern w:val="18"/>
          <w:vertAlign w:val="superscript"/>
          <w:lang w:val="en-IE"/>
        </w:rPr>
        <w:t>3</w:t>
      </w:r>
      <w:r w:rsidR="00A03BF7" w:rsidRPr="002D6860">
        <w:t xml:space="preserve">) while local background accounts for </w:t>
      </w:r>
      <w:r w:rsidR="00A03BF7">
        <w:t>27</w:t>
      </w:r>
      <w:r w:rsidR="00A03BF7" w:rsidRPr="002D6860">
        <w:t>% (</w:t>
      </w:r>
      <w:r w:rsidR="00A03BF7">
        <w:t>10.4</w:t>
      </w:r>
      <w:r w:rsidR="00A03BF7" w:rsidRPr="002D6860">
        <w:t xml:space="preserve"> </w:t>
      </w:r>
      <w:r w:rsidR="00A03BF7" w:rsidRPr="002D6860">
        <w:rPr>
          <w:rFonts w:eastAsia="Arial" w:cs="Arial"/>
          <w:kern w:val="18"/>
          <w:lang w:val="en-IE"/>
        </w:rPr>
        <w:t>µg/m</w:t>
      </w:r>
      <w:r w:rsidR="00A03BF7" w:rsidRPr="002D6860">
        <w:rPr>
          <w:rFonts w:eastAsia="Arial" w:cs="Arial"/>
          <w:kern w:val="18"/>
          <w:vertAlign w:val="superscript"/>
          <w:lang w:val="en-IE"/>
        </w:rPr>
        <w:t>3</w:t>
      </w:r>
      <w:r w:rsidR="00A03BF7" w:rsidRPr="002D6860">
        <w:t>)</w:t>
      </w:r>
      <w:r w:rsidR="00A03BF7">
        <w:t xml:space="preserve"> o</w:t>
      </w:r>
      <w:r w:rsidR="00A03BF7" w:rsidRPr="002D6860">
        <w:t xml:space="preserve">f total </w:t>
      </w:r>
      <w:r w:rsidR="00A03BF7" w:rsidRPr="002D6860">
        <w:rPr>
          <w:rFonts w:eastAsia="Arial" w:cs="Arial"/>
          <w:kern w:val="18"/>
          <w:lang w:val="en-IE"/>
        </w:rPr>
        <w:t>NO</w:t>
      </w:r>
      <w:r w:rsidR="00A03BF7" w:rsidRPr="002D6860">
        <w:rPr>
          <w:rFonts w:eastAsia="Arial" w:cs="Arial"/>
          <w:kern w:val="18"/>
          <w:vertAlign w:val="subscript"/>
          <w:lang w:val="en-IE"/>
        </w:rPr>
        <w:t>2</w:t>
      </w:r>
      <w:r w:rsidR="00A03BF7" w:rsidRPr="002D6860">
        <w:t xml:space="preserve">. </w:t>
      </w:r>
    </w:p>
    <w:p w14:paraId="0A2CF9A4" w14:textId="6FDD354F" w:rsidR="009774D5" w:rsidRPr="00D04771" w:rsidRDefault="009774D5" w:rsidP="009774D5">
      <w:pPr>
        <w:rPr>
          <w:b/>
          <w:bCs/>
          <w:color w:val="006726"/>
        </w:rPr>
      </w:pPr>
      <w:r>
        <w:rPr>
          <w:noProof/>
        </w:rPr>
        <w:drawing>
          <wp:inline distT="0" distB="0" distL="0" distR="0" wp14:anchorId="14530805" wp14:editId="69A8D709">
            <wp:extent cx="5715000" cy="3143250"/>
            <wp:effectExtent l="0" t="0" r="0" b="0"/>
            <wp:docPr id="900948235" name="Chart 1">
              <a:extLst xmlns:a="http://schemas.openxmlformats.org/drawingml/2006/main">
                <a:ext uri="{FF2B5EF4-FFF2-40B4-BE49-F238E27FC236}">
                  <a16:creationId xmlns:a16="http://schemas.microsoft.com/office/drawing/2014/main" id="{3174DEA5-05B2-4054-BC60-74128641B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2570ACA" w14:textId="6C914423" w:rsidR="001826D2" w:rsidRDefault="001826D2" w:rsidP="001826D2">
      <w:pPr>
        <w:pStyle w:val="Caption"/>
        <w:rPr>
          <w:b w:val="0"/>
          <w:bCs w:val="0"/>
        </w:rPr>
      </w:pPr>
      <w:bookmarkStart w:id="59" w:name="_Ref209772193"/>
      <w:bookmarkStart w:id="60" w:name="_Toc222131920"/>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3</w:t>
      </w:r>
      <w:r w:rsidR="00946EE5">
        <w:fldChar w:fldCharType="end"/>
      </w:r>
      <w:bookmarkEnd w:id="59"/>
      <w:r>
        <w:t xml:space="preserve"> - </w:t>
      </w:r>
      <w:r w:rsidRPr="002D6860">
        <w:t xml:space="preserve">Total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w:t>
      </w:r>
      <w:r>
        <w:t>Market Street</w:t>
      </w:r>
      <w:r w:rsidRPr="002D6860">
        <w:t xml:space="preserve"> (DT8)</w:t>
      </w:r>
      <w:bookmarkEnd w:id="60"/>
    </w:p>
    <w:p w14:paraId="55C54BAE" w14:textId="4A44F984" w:rsidR="00A03BF7" w:rsidRDefault="00A03BF7" w:rsidP="00A03BF7">
      <w:r>
        <w:t>Based on the D</w:t>
      </w:r>
      <w:r w:rsidR="009D1331">
        <w:t>EFRA</w:t>
      </w:r>
      <w:r>
        <w:t xml:space="preserve"> background maps, the background contributions at Market Street are dominated by road emissions (36%) with a substantial contribution from other emissions (30%) as shown in </w:t>
      </w:r>
      <w:r w:rsidR="001826D2">
        <w:rPr>
          <w:highlight w:val="yellow"/>
        </w:rPr>
        <w:fldChar w:fldCharType="begin"/>
      </w:r>
      <w:r w:rsidR="001826D2">
        <w:instrText xml:space="preserve"> REF _Ref209772220 \h </w:instrText>
      </w:r>
      <w:r w:rsidR="001826D2">
        <w:rPr>
          <w:highlight w:val="yellow"/>
        </w:rPr>
      </w:r>
      <w:r w:rsidR="001826D2">
        <w:rPr>
          <w:highlight w:val="yellow"/>
        </w:rPr>
        <w:fldChar w:fldCharType="separate"/>
      </w:r>
      <w:r w:rsidR="001826D2">
        <w:t xml:space="preserve">Figure </w:t>
      </w:r>
      <w:r w:rsidR="001826D2">
        <w:rPr>
          <w:noProof/>
        </w:rPr>
        <w:t>3</w:t>
      </w:r>
      <w:r w:rsidR="001826D2">
        <w:t>.</w:t>
      </w:r>
      <w:r w:rsidR="001826D2">
        <w:rPr>
          <w:noProof/>
        </w:rPr>
        <w:t>4</w:t>
      </w:r>
      <w:r w:rsidR="001826D2">
        <w:rPr>
          <w:highlight w:val="yellow"/>
        </w:rPr>
        <w:fldChar w:fldCharType="end"/>
      </w:r>
      <w:r>
        <w:t>.</w:t>
      </w:r>
    </w:p>
    <w:p w14:paraId="32E08E94" w14:textId="77777777" w:rsidR="00A03BF7" w:rsidRDefault="00A03BF7" w:rsidP="009774D5">
      <w:pPr>
        <w:rPr>
          <w:b/>
          <w:bCs/>
          <w:color w:val="006726"/>
        </w:rPr>
      </w:pPr>
    </w:p>
    <w:p w14:paraId="4C43FE1C" w14:textId="57B90E66" w:rsidR="00A03BF7" w:rsidRDefault="00A03BF7" w:rsidP="009774D5">
      <w:pPr>
        <w:rPr>
          <w:b/>
          <w:bCs/>
          <w:color w:val="385623" w:themeColor="accent6" w:themeShade="80"/>
        </w:rPr>
      </w:pPr>
      <w:r>
        <w:rPr>
          <w:noProof/>
        </w:rPr>
        <w:lastRenderedPageBreak/>
        <w:drawing>
          <wp:inline distT="0" distB="0" distL="0" distR="0" wp14:anchorId="716A3418" wp14:editId="43C2FD5B">
            <wp:extent cx="5553075" cy="3000375"/>
            <wp:effectExtent l="0" t="0" r="9525" b="9525"/>
            <wp:docPr id="2035647541" name="Chart 1">
              <a:extLst xmlns:a="http://schemas.openxmlformats.org/drawingml/2006/main">
                <a:ext uri="{FF2B5EF4-FFF2-40B4-BE49-F238E27FC236}">
                  <a16:creationId xmlns:a16="http://schemas.microsoft.com/office/drawing/2014/main" id="{A2A57459-A8E2-4BA7-8275-67B69E4946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B803C2" w14:textId="02831FDA" w:rsidR="001826D2" w:rsidRDefault="001826D2" w:rsidP="001826D2">
      <w:pPr>
        <w:pStyle w:val="Caption"/>
        <w:rPr>
          <w:b w:val="0"/>
          <w:bCs w:val="0"/>
        </w:rPr>
      </w:pPr>
      <w:bookmarkStart w:id="61" w:name="_Ref209772220"/>
      <w:bookmarkStart w:id="62" w:name="_Toc222131921"/>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4</w:t>
      </w:r>
      <w:r w:rsidR="00946EE5">
        <w:fldChar w:fldCharType="end"/>
      </w:r>
      <w:bookmarkEnd w:id="61"/>
      <w:r>
        <w:t xml:space="preserve"> -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w:t>
      </w:r>
      <w:r>
        <w:t>Market Street</w:t>
      </w:r>
      <w:r w:rsidRPr="002D6860">
        <w:t xml:space="preserve"> (DT8) – Background Contribution Detail</w:t>
      </w:r>
      <w:bookmarkEnd w:id="62"/>
    </w:p>
    <w:p w14:paraId="4C1FF1A9" w14:textId="60E6D08F" w:rsidR="00A03BF7" w:rsidRDefault="00A03BF7" w:rsidP="00A03BF7">
      <w:pPr>
        <w:rPr>
          <w:b/>
          <w:bCs/>
          <w:color w:val="006726"/>
        </w:rPr>
      </w:pPr>
      <w:r>
        <w:rPr>
          <w:b/>
          <w:bCs/>
          <w:color w:val="006726"/>
        </w:rPr>
        <w:t>St Mary’s Place</w:t>
      </w:r>
    </w:p>
    <w:p w14:paraId="259E0C3F" w14:textId="532510F2" w:rsidR="00E4535D" w:rsidRPr="001826D2" w:rsidRDefault="001826D2" w:rsidP="00A03BF7">
      <w:r>
        <w:fldChar w:fldCharType="begin"/>
      </w:r>
      <w:r>
        <w:instrText xml:space="preserve"> REF _Ref209772244 \h </w:instrText>
      </w:r>
      <w:r>
        <w:fldChar w:fldCharType="separate"/>
      </w:r>
      <w:r>
        <w:t xml:space="preserve">Figure </w:t>
      </w:r>
      <w:r>
        <w:rPr>
          <w:noProof/>
        </w:rPr>
        <w:t>3</w:t>
      </w:r>
      <w:r>
        <w:t>.</w:t>
      </w:r>
      <w:r>
        <w:rPr>
          <w:noProof/>
        </w:rPr>
        <w:t>5</w:t>
      </w:r>
      <w:r>
        <w:fldChar w:fldCharType="end"/>
      </w:r>
      <w:r>
        <w:t xml:space="preserve"> </w:t>
      </w:r>
      <w:r w:rsidR="00E4535D">
        <w:t>shows that direct road contribution accounts for 5</w:t>
      </w:r>
      <w:r w:rsidR="007666D1">
        <w:t>5</w:t>
      </w:r>
      <w:r w:rsidR="00E4535D">
        <w:t>% (20.2</w:t>
      </w:r>
      <w:r w:rsidR="00E4535D" w:rsidRPr="00E4535D">
        <w:rPr>
          <w:rFonts w:eastAsia="Arial" w:cs="Arial"/>
          <w:kern w:val="18"/>
          <w:lang w:val="en-IE"/>
        </w:rPr>
        <w:t xml:space="preserve"> </w:t>
      </w:r>
      <w:r w:rsidR="00E4535D" w:rsidRPr="00EB179C">
        <w:rPr>
          <w:rFonts w:eastAsia="Arial" w:cs="Arial"/>
          <w:kern w:val="18"/>
          <w:lang w:val="en-IE"/>
        </w:rPr>
        <w:t>µg/m</w:t>
      </w:r>
      <w:r w:rsidR="00E4535D" w:rsidRPr="00EB179C">
        <w:rPr>
          <w:rFonts w:eastAsia="Arial" w:cs="Arial"/>
          <w:kern w:val="18"/>
          <w:vertAlign w:val="superscript"/>
          <w:lang w:val="en-IE"/>
        </w:rPr>
        <w:t>3</w:t>
      </w:r>
      <w:r w:rsidR="00E4535D">
        <w:rPr>
          <w:rFonts w:eastAsia="Arial" w:cs="Arial"/>
          <w:kern w:val="18"/>
          <w:lang w:val="en-IE"/>
        </w:rPr>
        <w:t xml:space="preserve">) of total average </w:t>
      </w:r>
      <w:r w:rsidR="00E4535D" w:rsidRPr="00EB179C">
        <w:rPr>
          <w:rFonts w:eastAsia="Arial" w:cs="Arial"/>
          <w:kern w:val="18"/>
          <w:lang w:val="en-IE"/>
        </w:rPr>
        <w:t>NO</w:t>
      </w:r>
      <w:r w:rsidR="00E4535D" w:rsidRPr="00EB179C">
        <w:rPr>
          <w:rFonts w:eastAsia="Arial" w:cs="Arial"/>
          <w:kern w:val="18"/>
          <w:vertAlign w:val="subscript"/>
          <w:lang w:val="en-IE"/>
        </w:rPr>
        <w:t>2</w:t>
      </w:r>
      <w:r w:rsidR="00E4535D" w:rsidRPr="00EB179C">
        <w:t xml:space="preserve"> with </w:t>
      </w:r>
      <w:r w:rsidR="00E4535D">
        <w:t>buses</w:t>
      </w:r>
      <w:r w:rsidR="00E4535D" w:rsidRPr="00EB179C">
        <w:t xml:space="preserve"> and </w:t>
      </w:r>
      <w:r w:rsidR="00E4535D">
        <w:t>diesel cars</w:t>
      </w:r>
      <w:r w:rsidR="00E4535D" w:rsidRPr="00EB179C">
        <w:t xml:space="preserve"> representing the largest proportions, </w:t>
      </w:r>
      <w:r w:rsidR="00E4535D">
        <w:t>42</w:t>
      </w:r>
      <w:r w:rsidR="00E4535D" w:rsidRPr="00EB179C">
        <w:t>% (</w:t>
      </w:r>
      <w:r w:rsidR="00E4535D">
        <w:t>15.4</w:t>
      </w:r>
      <w:r w:rsidR="00E4535D" w:rsidRPr="00EB179C">
        <w:t xml:space="preserve"> </w:t>
      </w:r>
      <w:r w:rsidR="00E4535D" w:rsidRPr="00EB179C">
        <w:rPr>
          <w:rFonts w:eastAsia="Arial" w:cs="Arial"/>
          <w:kern w:val="18"/>
          <w:lang w:val="en-IE"/>
        </w:rPr>
        <w:t>µg/m</w:t>
      </w:r>
      <w:r w:rsidR="00E4535D" w:rsidRPr="00EB179C">
        <w:rPr>
          <w:rFonts w:eastAsia="Arial" w:cs="Arial"/>
          <w:kern w:val="18"/>
          <w:vertAlign w:val="superscript"/>
          <w:lang w:val="en-IE"/>
        </w:rPr>
        <w:t>3</w:t>
      </w:r>
      <w:r w:rsidR="00E4535D" w:rsidRPr="00EB179C">
        <w:t xml:space="preserve">) and </w:t>
      </w:r>
      <w:r w:rsidR="00E4535D">
        <w:t>8</w:t>
      </w:r>
      <w:r w:rsidR="00E4535D" w:rsidRPr="00EB179C">
        <w:t>% (</w:t>
      </w:r>
      <w:r w:rsidR="00E4535D">
        <w:t>3.1</w:t>
      </w:r>
      <w:r w:rsidR="00E4535D" w:rsidRPr="00EB179C">
        <w:t xml:space="preserve"> </w:t>
      </w:r>
      <w:r w:rsidR="00E4535D" w:rsidRPr="00EB179C">
        <w:rPr>
          <w:rFonts w:eastAsia="Arial" w:cs="Arial"/>
          <w:kern w:val="18"/>
          <w:lang w:val="en-IE"/>
        </w:rPr>
        <w:t>µg/m</w:t>
      </w:r>
      <w:r w:rsidR="00E4535D" w:rsidRPr="00EB179C">
        <w:rPr>
          <w:rFonts w:eastAsia="Arial" w:cs="Arial"/>
          <w:kern w:val="18"/>
          <w:vertAlign w:val="superscript"/>
          <w:lang w:val="en-IE"/>
        </w:rPr>
        <w:t>3</w:t>
      </w:r>
      <w:r w:rsidR="00E4535D" w:rsidRPr="00EB179C">
        <w:t xml:space="preserve">) of total </w:t>
      </w:r>
      <w:r w:rsidR="00E4535D" w:rsidRPr="00EB179C">
        <w:rPr>
          <w:rFonts w:eastAsia="Arial" w:cs="Arial"/>
          <w:kern w:val="18"/>
          <w:lang w:val="en-IE"/>
        </w:rPr>
        <w:t>NO</w:t>
      </w:r>
      <w:r w:rsidR="00E4535D" w:rsidRPr="00EB179C">
        <w:rPr>
          <w:rFonts w:eastAsia="Arial" w:cs="Arial"/>
          <w:kern w:val="18"/>
          <w:vertAlign w:val="subscript"/>
          <w:lang w:val="en-IE"/>
        </w:rPr>
        <w:t>2</w:t>
      </w:r>
      <w:r w:rsidR="00E4535D" w:rsidRPr="00EB179C">
        <w:t xml:space="preserve"> measured concentration respectively, at </w:t>
      </w:r>
      <w:r w:rsidR="00E4535D">
        <w:t>St Mary’s Place</w:t>
      </w:r>
      <w:r w:rsidR="00E4535D" w:rsidRPr="00EB179C">
        <w:t>.</w:t>
      </w:r>
      <w:r w:rsidR="00E4535D">
        <w:t xml:space="preserve"> Regional background </w:t>
      </w:r>
      <w:r w:rsidR="00E4535D" w:rsidRPr="002D6860">
        <w:t xml:space="preserve">accounts for </w:t>
      </w:r>
      <w:r w:rsidR="00E4535D">
        <w:t>16</w:t>
      </w:r>
      <w:r w:rsidR="00E4535D" w:rsidRPr="002D6860">
        <w:t xml:space="preserve">% (5.7 </w:t>
      </w:r>
      <w:r w:rsidR="00E4535D" w:rsidRPr="002D6860">
        <w:rPr>
          <w:rFonts w:eastAsia="Arial" w:cs="Arial"/>
          <w:kern w:val="18"/>
          <w:lang w:val="en-IE"/>
        </w:rPr>
        <w:t>µg/m</w:t>
      </w:r>
      <w:r w:rsidR="00E4535D" w:rsidRPr="002D6860">
        <w:rPr>
          <w:rFonts w:eastAsia="Arial" w:cs="Arial"/>
          <w:kern w:val="18"/>
          <w:vertAlign w:val="superscript"/>
          <w:lang w:val="en-IE"/>
        </w:rPr>
        <w:t>3</w:t>
      </w:r>
      <w:r w:rsidR="00E4535D" w:rsidRPr="002D6860">
        <w:t xml:space="preserve">) while local background accounts for </w:t>
      </w:r>
      <w:r w:rsidR="00E4535D">
        <w:t>29</w:t>
      </w:r>
      <w:r w:rsidR="00E4535D" w:rsidRPr="002D6860">
        <w:t>% (</w:t>
      </w:r>
      <w:r w:rsidR="00E4535D">
        <w:t>10.4</w:t>
      </w:r>
      <w:r w:rsidR="00E4535D" w:rsidRPr="002D6860">
        <w:t xml:space="preserve"> </w:t>
      </w:r>
      <w:r w:rsidR="00E4535D" w:rsidRPr="002D6860">
        <w:rPr>
          <w:rFonts w:eastAsia="Arial" w:cs="Arial"/>
          <w:kern w:val="18"/>
          <w:lang w:val="en-IE"/>
        </w:rPr>
        <w:t>µg/m</w:t>
      </w:r>
      <w:r w:rsidR="00E4535D" w:rsidRPr="002D6860">
        <w:rPr>
          <w:rFonts w:eastAsia="Arial" w:cs="Arial"/>
          <w:kern w:val="18"/>
          <w:vertAlign w:val="superscript"/>
          <w:lang w:val="en-IE"/>
        </w:rPr>
        <w:t>3</w:t>
      </w:r>
      <w:r w:rsidR="00E4535D" w:rsidRPr="002D6860">
        <w:t>)</w:t>
      </w:r>
      <w:r w:rsidR="00E4535D">
        <w:t xml:space="preserve"> o</w:t>
      </w:r>
      <w:r w:rsidR="00E4535D" w:rsidRPr="002D6860">
        <w:t xml:space="preserve">f total </w:t>
      </w:r>
      <w:r w:rsidR="00E4535D" w:rsidRPr="002D6860">
        <w:rPr>
          <w:rFonts w:eastAsia="Arial" w:cs="Arial"/>
          <w:kern w:val="18"/>
          <w:lang w:val="en-IE"/>
        </w:rPr>
        <w:t>NO</w:t>
      </w:r>
      <w:r w:rsidR="00E4535D" w:rsidRPr="002D6860">
        <w:rPr>
          <w:rFonts w:eastAsia="Arial" w:cs="Arial"/>
          <w:kern w:val="18"/>
          <w:vertAlign w:val="subscript"/>
          <w:lang w:val="en-IE"/>
        </w:rPr>
        <w:t>2</w:t>
      </w:r>
      <w:r w:rsidR="00E4535D" w:rsidRPr="002D6860">
        <w:t>.</w:t>
      </w:r>
    </w:p>
    <w:p w14:paraId="1FC85827" w14:textId="0E5F49C5" w:rsidR="00E4535D" w:rsidRPr="00D04771" w:rsidRDefault="00E4535D" w:rsidP="00A03BF7">
      <w:pPr>
        <w:rPr>
          <w:b/>
          <w:bCs/>
          <w:color w:val="006726"/>
        </w:rPr>
      </w:pPr>
      <w:r>
        <w:rPr>
          <w:noProof/>
        </w:rPr>
        <w:drawing>
          <wp:inline distT="0" distB="0" distL="0" distR="0" wp14:anchorId="789DC5FB" wp14:editId="36120341">
            <wp:extent cx="5695950" cy="3219450"/>
            <wp:effectExtent l="0" t="0" r="0" b="0"/>
            <wp:docPr id="1252862379" name="Chart 1">
              <a:extLst xmlns:a="http://schemas.openxmlformats.org/drawingml/2006/main">
                <a:ext uri="{FF2B5EF4-FFF2-40B4-BE49-F238E27FC236}">
                  <a16:creationId xmlns:a16="http://schemas.microsoft.com/office/drawing/2014/main" id="{57EF213C-9FA0-4605-95A7-2BED09506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50E161" w14:textId="34DCF3CC" w:rsidR="001826D2" w:rsidRDefault="001826D2" w:rsidP="001826D2">
      <w:pPr>
        <w:pStyle w:val="Caption"/>
        <w:rPr>
          <w:b w:val="0"/>
          <w:bCs w:val="0"/>
        </w:rPr>
      </w:pPr>
      <w:bookmarkStart w:id="63" w:name="_Ref209772244"/>
      <w:bookmarkStart w:id="64" w:name="_Toc222131922"/>
      <w:r>
        <w:lastRenderedPageBreak/>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5</w:t>
      </w:r>
      <w:r w:rsidR="00946EE5">
        <w:fldChar w:fldCharType="end"/>
      </w:r>
      <w:bookmarkEnd w:id="63"/>
      <w:r>
        <w:t xml:space="preserve"> - </w:t>
      </w:r>
      <w:r w:rsidRPr="002D6860">
        <w:t xml:space="preserve">Total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w:t>
      </w:r>
      <w:r>
        <w:t>St Mary’s Place</w:t>
      </w:r>
      <w:r w:rsidRPr="002D6860">
        <w:t xml:space="preserve"> (DT</w:t>
      </w:r>
      <w:r>
        <w:t>5/115/116</w:t>
      </w:r>
      <w:r w:rsidRPr="002D6860">
        <w:t>)</w:t>
      </w:r>
      <w:bookmarkEnd w:id="64"/>
    </w:p>
    <w:p w14:paraId="0A80CDEE" w14:textId="50080581" w:rsidR="00E4535D" w:rsidRPr="001826D2" w:rsidRDefault="00E4535D" w:rsidP="00E4535D">
      <w:r>
        <w:t>Based on the D</w:t>
      </w:r>
      <w:r w:rsidR="009D1331">
        <w:t>EFRA</w:t>
      </w:r>
      <w:r>
        <w:t xml:space="preserve"> background maps, the background contributions at St Mary’s Place are dominated by </w:t>
      </w:r>
      <w:r w:rsidR="00DE1F7B">
        <w:t xml:space="preserve">road emissions (36%) with a substantial contribution from other emissions (30%) as shown in </w:t>
      </w:r>
      <w:r w:rsidR="001826D2">
        <w:rPr>
          <w:highlight w:val="yellow"/>
        </w:rPr>
        <w:fldChar w:fldCharType="begin"/>
      </w:r>
      <w:r w:rsidR="001826D2">
        <w:instrText xml:space="preserve"> REF _Ref209772268 \h </w:instrText>
      </w:r>
      <w:r w:rsidR="001826D2">
        <w:rPr>
          <w:highlight w:val="yellow"/>
        </w:rPr>
      </w:r>
      <w:r w:rsidR="001826D2">
        <w:rPr>
          <w:highlight w:val="yellow"/>
        </w:rPr>
        <w:fldChar w:fldCharType="separate"/>
      </w:r>
      <w:r w:rsidR="001826D2">
        <w:t xml:space="preserve">Figure </w:t>
      </w:r>
      <w:r w:rsidR="001826D2">
        <w:rPr>
          <w:noProof/>
        </w:rPr>
        <w:t>3</w:t>
      </w:r>
      <w:r w:rsidR="001826D2">
        <w:t>.</w:t>
      </w:r>
      <w:r w:rsidR="001826D2">
        <w:rPr>
          <w:noProof/>
        </w:rPr>
        <w:t>6</w:t>
      </w:r>
      <w:r w:rsidR="001826D2">
        <w:rPr>
          <w:highlight w:val="yellow"/>
        </w:rPr>
        <w:fldChar w:fldCharType="end"/>
      </w:r>
      <w:r w:rsidR="00DE1F7B">
        <w:t>.</w:t>
      </w:r>
    </w:p>
    <w:p w14:paraId="67F17101" w14:textId="7B37313C" w:rsidR="00E4535D" w:rsidRDefault="00E4535D" w:rsidP="00E4535D">
      <w:pPr>
        <w:rPr>
          <w:b/>
          <w:bCs/>
          <w:color w:val="006726"/>
        </w:rPr>
      </w:pPr>
      <w:r>
        <w:rPr>
          <w:noProof/>
        </w:rPr>
        <w:drawing>
          <wp:inline distT="0" distB="0" distL="0" distR="0" wp14:anchorId="0F68B20D" wp14:editId="309F4E95">
            <wp:extent cx="5600700" cy="2990850"/>
            <wp:effectExtent l="0" t="0" r="0" b="0"/>
            <wp:docPr id="1023985238" name="Chart 1">
              <a:extLst xmlns:a="http://schemas.openxmlformats.org/drawingml/2006/main">
                <a:ext uri="{FF2B5EF4-FFF2-40B4-BE49-F238E27FC236}">
                  <a16:creationId xmlns:a16="http://schemas.microsoft.com/office/drawing/2014/main" id="{73CA0BDA-12F9-4044-9DB7-06F79A898C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F58997" w14:textId="742E08B8" w:rsidR="001826D2" w:rsidRDefault="001826D2" w:rsidP="001826D2">
      <w:pPr>
        <w:pStyle w:val="Caption"/>
      </w:pPr>
      <w:bookmarkStart w:id="65" w:name="_Ref209772268"/>
      <w:bookmarkStart w:id="66" w:name="_Toc222131923"/>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6</w:t>
      </w:r>
      <w:r w:rsidR="00946EE5">
        <w:fldChar w:fldCharType="end"/>
      </w:r>
      <w:bookmarkEnd w:id="65"/>
      <w:r>
        <w:t xml:space="preserve"> -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w:t>
      </w:r>
      <w:r>
        <w:t>St Mary’s Place</w:t>
      </w:r>
      <w:r w:rsidRPr="002D6860">
        <w:t xml:space="preserve"> (DT</w:t>
      </w:r>
      <w:r>
        <w:t>5/115/116</w:t>
      </w:r>
      <w:r w:rsidRPr="002D6860">
        <w:t>) – Background Contribution Detail</w:t>
      </w:r>
      <w:bookmarkEnd w:id="66"/>
    </w:p>
    <w:p w14:paraId="59B1848B" w14:textId="46DC6541" w:rsidR="00E72AE6" w:rsidRPr="00DF643F" w:rsidRDefault="00E72AE6" w:rsidP="00E72AE6">
      <w:r>
        <w:t>The local bus fleet plays a significant role in the air quality at Market Street and St Mary’s Place in relation to NO</w:t>
      </w:r>
      <w:r w:rsidRPr="00DF643F">
        <w:rPr>
          <w:vertAlign w:val="subscript"/>
        </w:rPr>
        <w:t>2</w:t>
      </w:r>
      <w:r>
        <w:t xml:space="preserve"> emissions. Analysis shows that direct road traffic contributes 58% and 55% of the total average NO</w:t>
      </w:r>
      <w:r w:rsidRPr="00DF643F">
        <w:rPr>
          <w:vertAlign w:val="subscript"/>
        </w:rPr>
        <w:t>2</w:t>
      </w:r>
      <w:r>
        <w:t xml:space="preserve"> with buses alone accounting for 50% and 42% of the total NO</w:t>
      </w:r>
      <w:r w:rsidRPr="00DF643F">
        <w:rPr>
          <w:vertAlign w:val="subscript"/>
        </w:rPr>
        <w:t>2</w:t>
      </w:r>
      <w:r>
        <w:t xml:space="preserve"> measured concentration at Market Street and St Mary’s Place, respectively (as shown in </w:t>
      </w:r>
      <w:r>
        <w:fldChar w:fldCharType="begin"/>
      </w:r>
      <w:r>
        <w:instrText xml:space="preserve"> REF _Ref209772193 \h </w:instrText>
      </w:r>
      <w:r>
        <w:fldChar w:fldCharType="separate"/>
      </w:r>
      <w:r>
        <w:t xml:space="preserve">Figure </w:t>
      </w:r>
      <w:r>
        <w:rPr>
          <w:noProof/>
        </w:rPr>
        <w:t>3</w:t>
      </w:r>
      <w:r>
        <w:t>.</w:t>
      </w:r>
      <w:r>
        <w:rPr>
          <w:noProof/>
        </w:rPr>
        <w:t>3</w:t>
      </w:r>
      <w:r>
        <w:fldChar w:fldCharType="end"/>
      </w:r>
      <w:r>
        <w:t xml:space="preserve"> and </w:t>
      </w:r>
      <w:r>
        <w:fldChar w:fldCharType="begin"/>
      </w:r>
      <w:r>
        <w:instrText xml:space="preserve"> REF _Ref209772244 \h </w:instrText>
      </w:r>
      <w:r>
        <w:fldChar w:fldCharType="separate"/>
      </w:r>
      <w:r>
        <w:t xml:space="preserve">Figure </w:t>
      </w:r>
      <w:r>
        <w:rPr>
          <w:noProof/>
        </w:rPr>
        <w:t>3</w:t>
      </w:r>
      <w:r>
        <w:t>.</w:t>
      </w:r>
      <w:r>
        <w:rPr>
          <w:noProof/>
        </w:rPr>
        <w:t>5</w:t>
      </w:r>
      <w:r>
        <w:fldChar w:fldCharType="end"/>
      </w:r>
      <w:r>
        <w:t xml:space="preserve">). This high impact is </w:t>
      </w:r>
      <w:r w:rsidR="007B6E37">
        <w:t>explained by the</w:t>
      </w:r>
      <w:r w:rsidR="00041511">
        <w:t xml:space="preserve"> busy bus routes that pass these monitoring locations, along with the</w:t>
      </w:r>
      <w:r w:rsidR="007B6E37">
        <w:t xml:space="preserve"> composition of the local bus fleet which differs from the national average. While the national fleet includes a higher proportion of newer, cleaner vehicles, the local fleet is lagging behind, with 44.2% of buses still classified as Euro V, compared to just 18.7% nationally (as shown in </w:t>
      </w:r>
      <w:r w:rsidR="007B6E37">
        <w:fldChar w:fldCharType="begin"/>
      </w:r>
      <w:r w:rsidR="007B6E37">
        <w:instrText xml:space="preserve"> REF _Ref209772015 \h </w:instrText>
      </w:r>
      <w:r w:rsidR="007B6E37">
        <w:fldChar w:fldCharType="separate"/>
      </w:r>
      <w:r w:rsidR="007B6E37">
        <w:t xml:space="preserve">Figure </w:t>
      </w:r>
      <w:r w:rsidR="007B6E37">
        <w:rPr>
          <w:noProof/>
        </w:rPr>
        <w:t>3</w:t>
      </w:r>
      <w:r w:rsidR="007B6E37">
        <w:t>.</w:t>
      </w:r>
      <w:r w:rsidR="007B6E37">
        <w:rPr>
          <w:noProof/>
        </w:rPr>
        <w:t>2</w:t>
      </w:r>
      <w:r w:rsidR="007B6E37">
        <w:fldChar w:fldCharType="end"/>
      </w:r>
      <w:r w:rsidR="007B6E37">
        <w:t>). This indicates a slower transition to Euro VI or zero-emission buses locally which directly correlates with the elevated NO</w:t>
      </w:r>
      <w:r w:rsidR="007B6E37" w:rsidRPr="00DF643F">
        <w:rPr>
          <w:vertAlign w:val="subscript"/>
        </w:rPr>
        <w:t>2</w:t>
      </w:r>
      <w:r w:rsidR="007B6E37">
        <w:t xml:space="preserve"> levels observed. Addressing this disparity by accelerating the upgrade of the local bus fleet would therefore be a critical step in reducing NO</w:t>
      </w:r>
      <w:r w:rsidR="007B6E37" w:rsidRPr="00DF643F">
        <w:rPr>
          <w:vertAlign w:val="subscript"/>
        </w:rPr>
        <w:t>2</w:t>
      </w:r>
      <w:r w:rsidR="007B6E37">
        <w:t xml:space="preserve"> concentrations.</w:t>
      </w:r>
    </w:p>
    <w:p w14:paraId="67CF9F2B" w14:textId="73D786A7" w:rsidR="00E72AE6" w:rsidRPr="00E72AE6" w:rsidRDefault="00E72AE6" w:rsidP="00DF643F"/>
    <w:p w14:paraId="5394FF28" w14:textId="38A0A41B" w:rsidR="001A59CC" w:rsidRPr="00D04771" w:rsidRDefault="00CF1D90" w:rsidP="00AB2FB7">
      <w:pPr>
        <w:rPr>
          <w:b/>
          <w:bCs/>
          <w:color w:val="006726"/>
        </w:rPr>
      </w:pPr>
      <w:r>
        <w:rPr>
          <w:b/>
          <w:bCs/>
          <w:color w:val="006726"/>
        </w:rPr>
        <w:lastRenderedPageBreak/>
        <w:t>Stephenson Road</w:t>
      </w:r>
    </w:p>
    <w:p w14:paraId="71CEB6DE" w14:textId="14C71E1A" w:rsidR="00AB2FB7" w:rsidRPr="00AB2FB7" w:rsidRDefault="001826D2" w:rsidP="00AB2FB7">
      <w:r>
        <w:fldChar w:fldCharType="begin"/>
      </w:r>
      <w:r>
        <w:instrText xml:space="preserve"> REF _Ref209772294 \h </w:instrText>
      </w:r>
      <w:r>
        <w:fldChar w:fldCharType="separate"/>
      </w:r>
      <w:r>
        <w:t xml:space="preserve">Figure </w:t>
      </w:r>
      <w:r>
        <w:rPr>
          <w:noProof/>
        </w:rPr>
        <w:t>3</w:t>
      </w:r>
      <w:r>
        <w:t>.</w:t>
      </w:r>
      <w:r>
        <w:rPr>
          <w:noProof/>
        </w:rPr>
        <w:t>7</w:t>
      </w:r>
      <w:r>
        <w:fldChar w:fldCharType="end"/>
      </w:r>
      <w:r>
        <w:t xml:space="preserve"> </w:t>
      </w:r>
      <w:r w:rsidR="00EB179C" w:rsidRPr="00EB179C">
        <w:t xml:space="preserve">shows that </w:t>
      </w:r>
      <w:r w:rsidR="001A59CC">
        <w:t>the direct</w:t>
      </w:r>
      <w:r w:rsidR="001A59CC" w:rsidRPr="00EB179C">
        <w:t xml:space="preserve"> </w:t>
      </w:r>
      <w:r w:rsidR="00EB179C" w:rsidRPr="00EB179C">
        <w:t xml:space="preserve">road </w:t>
      </w:r>
      <w:r w:rsidR="001A59CC">
        <w:t>contribution</w:t>
      </w:r>
      <w:r w:rsidR="001A59CC" w:rsidRPr="00EB179C">
        <w:t xml:space="preserve"> </w:t>
      </w:r>
      <w:r w:rsidR="00EB179C" w:rsidRPr="00EB179C">
        <w:t xml:space="preserve">accounts for 80% (51.4 </w:t>
      </w:r>
      <w:r w:rsidR="00EB179C" w:rsidRPr="00EB179C">
        <w:rPr>
          <w:rFonts w:eastAsia="Arial" w:cs="Arial"/>
          <w:kern w:val="18"/>
          <w:lang w:val="en-IE"/>
        </w:rPr>
        <w:t>µg/m</w:t>
      </w:r>
      <w:r w:rsidR="00EB179C" w:rsidRPr="00EB179C">
        <w:rPr>
          <w:rFonts w:eastAsia="Arial" w:cs="Arial"/>
          <w:kern w:val="18"/>
          <w:vertAlign w:val="superscript"/>
          <w:lang w:val="en-IE"/>
        </w:rPr>
        <w:t>3</w:t>
      </w:r>
      <w:r w:rsidR="00EB179C" w:rsidRPr="00EB179C">
        <w:t xml:space="preserve">) of total average </w:t>
      </w:r>
      <w:r w:rsidR="00EB179C" w:rsidRPr="00EB179C">
        <w:rPr>
          <w:rFonts w:eastAsia="Arial" w:cs="Arial"/>
          <w:kern w:val="18"/>
          <w:lang w:val="en-IE"/>
        </w:rPr>
        <w:t>NO</w:t>
      </w:r>
      <w:r w:rsidR="00EB179C" w:rsidRPr="00EB179C">
        <w:rPr>
          <w:rFonts w:eastAsia="Arial" w:cs="Arial"/>
          <w:kern w:val="18"/>
          <w:vertAlign w:val="subscript"/>
          <w:lang w:val="en-IE"/>
        </w:rPr>
        <w:t>2</w:t>
      </w:r>
      <w:r w:rsidR="00EB179C" w:rsidRPr="00EB179C">
        <w:t xml:space="preserve"> with diesel cars and LGVs representing the largest proportions, 39% (25.2 </w:t>
      </w:r>
      <w:r w:rsidR="00EB179C" w:rsidRPr="00EB179C">
        <w:rPr>
          <w:rFonts w:eastAsia="Arial" w:cs="Arial"/>
          <w:kern w:val="18"/>
          <w:lang w:val="en-IE"/>
        </w:rPr>
        <w:t>µg/m</w:t>
      </w:r>
      <w:r w:rsidR="00EB179C" w:rsidRPr="00EB179C">
        <w:rPr>
          <w:rFonts w:eastAsia="Arial" w:cs="Arial"/>
          <w:kern w:val="18"/>
          <w:vertAlign w:val="superscript"/>
          <w:lang w:val="en-IE"/>
        </w:rPr>
        <w:t>3</w:t>
      </w:r>
      <w:r w:rsidR="00EB179C" w:rsidRPr="00EB179C">
        <w:t xml:space="preserve">) and 24% (15.5 </w:t>
      </w:r>
      <w:r w:rsidR="00EB179C" w:rsidRPr="00EB179C">
        <w:rPr>
          <w:rFonts w:eastAsia="Arial" w:cs="Arial"/>
          <w:kern w:val="18"/>
          <w:lang w:val="en-IE"/>
        </w:rPr>
        <w:t>µg/m</w:t>
      </w:r>
      <w:r w:rsidR="00EB179C" w:rsidRPr="00EB179C">
        <w:rPr>
          <w:rFonts w:eastAsia="Arial" w:cs="Arial"/>
          <w:kern w:val="18"/>
          <w:vertAlign w:val="superscript"/>
          <w:lang w:val="en-IE"/>
        </w:rPr>
        <w:t>3</w:t>
      </w:r>
      <w:r w:rsidR="00EB179C" w:rsidRPr="00EB179C">
        <w:t xml:space="preserve">) of total </w:t>
      </w:r>
      <w:r w:rsidR="00EB179C" w:rsidRPr="00EB179C">
        <w:rPr>
          <w:rFonts w:eastAsia="Arial" w:cs="Arial"/>
          <w:kern w:val="18"/>
          <w:lang w:val="en-IE"/>
        </w:rPr>
        <w:t>NO</w:t>
      </w:r>
      <w:r w:rsidR="00EB179C" w:rsidRPr="00EB179C">
        <w:rPr>
          <w:rFonts w:eastAsia="Arial" w:cs="Arial"/>
          <w:kern w:val="18"/>
          <w:vertAlign w:val="subscript"/>
          <w:lang w:val="en-IE"/>
        </w:rPr>
        <w:t>2</w:t>
      </w:r>
      <w:r w:rsidR="00EB179C" w:rsidRPr="00EB179C">
        <w:t xml:space="preserve"> measured concentration respectively, at Stephenson Road.</w:t>
      </w:r>
      <w:r w:rsidR="00EB179C">
        <w:t xml:space="preserve"> </w:t>
      </w:r>
      <w:r w:rsidR="002D6860">
        <w:t>Regional background</w:t>
      </w:r>
      <w:r w:rsidR="002D6860" w:rsidRPr="002D6860">
        <w:t xml:space="preserve"> accounts for 9% (5.7 </w:t>
      </w:r>
      <w:r w:rsidR="002D6860" w:rsidRPr="002D6860">
        <w:rPr>
          <w:rFonts w:eastAsia="Arial" w:cs="Arial"/>
          <w:kern w:val="18"/>
          <w:lang w:val="en-IE"/>
        </w:rPr>
        <w:t>µg/m</w:t>
      </w:r>
      <w:r w:rsidR="002D6860" w:rsidRPr="002D6860">
        <w:rPr>
          <w:rFonts w:eastAsia="Arial" w:cs="Arial"/>
          <w:kern w:val="18"/>
          <w:vertAlign w:val="superscript"/>
          <w:lang w:val="en-IE"/>
        </w:rPr>
        <w:t>3</w:t>
      </w:r>
      <w:r w:rsidR="002D6860" w:rsidRPr="002D6860">
        <w:t xml:space="preserve">) while local background accounts for 11% (7.4 </w:t>
      </w:r>
      <w:r w:rsidR="002D6860" w:rsidRPr="002D6860">
        <w:rPr>
          <w:rFonts w:eastAsia="Arial" w:cs="Arial"/>
          <w:kern w:val="18"/>
          <w:lang w:val="en-IE"/>
        </w:rPr>
        <w:t>µg/m</w:t>
      </w:r>
      <w:r w:rsidR="002D6860" w:rsidRPr="002D6860">
        <w:rPr>
          <w:rFonts w:eastAsia="Arial" w:cs="Arial"/>
          <w:kern w:val="18"/>
          <w:vertAlign w:val="superscript"/>
          <w:lang w:val="en-IE"/>
        </w:rPr>
        <w:t>3</w:t>
      </w:r>
      <w:r w:rsidR="002D6860" w:rsidRPr="002D6860">
        <w:t>)</w:t>
      </w:r>
      <w:r w:rsidR="002D6860">
        <w:t xml:space="preserve"> o</w:t>
      </w:r>
      <w:r w:rsidR="002D6860" w:rsidRPr="002D6860">
        <w:t xml:space="preserve">f total </w:t>
      </w:r>
      <w:r w:rsidR="002D6860" w:rsidRPr="002D6860">
        <w:rPr>
          <w:rFonts w:eastAsia="Arial" w:cs="Arial"/>
          <w:kern w:val="18"/>
          <w:lang w:val="en-IE"/>
        </w:rPr>
        <w:t>NO</w:t>
      </w:r>
      <w:r w:rsidR="002D6860" w:rsidRPr="002D6860">
        <w:rPr>
          <w:rFonts w:eastAsia="Arial" w:cs="Arial"/>
          <w:kern w:val="18"/>
          <w:vertAlign w:val="subscript"/>
          <w:lang w:val="en-IE"/>
        </w:rPr>
        <w:t>2</w:t>
      </w:r>
      <w:r w:rsidR="002D6860" w:rsidRPr="002D6860">
        <w:t xml:space="preserve">. </w:t>
      </w:r>
    </w:p>
    <w:p w14:paraId="33EF4217" w14:textId="6076181F" w:rsidR="00581E8F" w:rsidRDefault="00F7314E" w:rsidP="00581E8F">
      <w:r>
        <w:rPr>
          <w:noProof/>
        </w:rPr>
        <w:drawing>
          <wp:inline distT="0" distB="0" distL="0" distR="0" wp14:anchorId="2D8845F0" wp14:editId="2BA18625">
            <wp:extent cx="5417820" cy="3055620"/>
            <wp:effectExtent l="0" t="0" r="11430" b="11430"/>
            <wp:docPr id="183872833" name="Chart 1">
              <a:extLst xmlns:a="http://schemas.openxmlformats.org/drawingml/2006/main">
                <a:ext uri="{FF2B5EF4-FFF2-40B4-BE49-F238E27FC236}">
                  <a16:creationId xmlns:a16="http://schemas.microsoft.com/office/drawing/2014/main" id="{4D78482C-70B6-E11C-8226-BE7D5C3F4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AF3A9A" w14:textId="39E5949D" w:rsidR="001826D2" w:rsidRDefault="001826D2" w:rsidP="001826D2">
      <w:pPr>
        <w:pStyle w:val="Caption"/>
        <w:rPr>
          <w:b w:val="0"/>
          <w:bCs w:val="0"/>
          <w:color w:val="385623" w:themeColor="accent6" w:themeShade="80"/>
        </w:rPr>
      </w:pPr>
      <w:bookmarkStart w:id="67" w:name="_Ref209772294"/>
      <w:bookmarkStart w:id="68" w:name="_Toc222131924"/>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7</w:t>
      </w:r>
      <w:r w:rsidR="00946EE5">
        <w:fldChar w:fldCharType="end"/>
      </w:r>
      <w:bookmarkEnd w:id="67"/>
      <w:r>
        <w:t xml:space="preserve"> - </w:t>
      </w:r>
      <w:r w:rsidRPr="002D6860">
        <w:t xml:space="preserve">Total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Stephenson Road (DT81)</w:t>
      </w:r>
      <w:bookmarkEnd w:id="68"/>
    </w:p>
    <w:p w14:paraId="5145EC56" w14:textId="5EC80DCA" w:rsidR="002D6860" w:rsidRDefault="002D6860" w:rsidP="00581E8F">
      <w:r>
        <w:t>Based on the D</w:t>
      </w:r>
      <w:r w:rsidR="009D1331">
        <w:t>EFRA</w:t>
      </w:r>
      <w:r>
        <w:t xml:space="preserve"> background maps, the background contributions at Stephenson Road are dominated by road emissions (44%) </w:t>
      </w:r>
      <w:r w:rsidR="00CF1D90">
        <w:t>with a substantial contribution from domestic emissions (19%)</w:t>
      </w:r>
      <w:r w:rsidR="00276F2F">
        <w:t xml:space="preserve"> which are NO</w:t>
      </w:r>
      <w:r w:rsidR="00276F2F" w:rsidRPr="00DF643F">
        <w:rPr>
          <w:vertAlign w:val="subscript"/>
        </w:rPr>
        <w:t>2</w:t>
      </w:r>
      <w:r w:rsidR="00276F2F">
        <w:t xml:space="preserve"> emissions from domestic, institutional and commercial space heating,</w:t>
      </w:r>
      <w:r w:rsidR="00CF1D90">
        <w:t xml:space="preserve"> </w:t>
      </w:r>
      <w:r>
        <w:t xml:space="preserve">as shown in </w:t>
      </w:r>
      <w:r w:rsidR="001826D2">
        <w:fldChar w:fldCharType="begin"/>
      </w:r>
      <w:r w:rsidR="001826D2">
        <w:instrText xml:space="preserve"> REF _Ref209772324 \h </w:instrText>
      </w:r>
      <w:r w:rsidR="001826D2">
        <w:fldChar w:fldCharType="separate"/>
      </w:r>
      <w:r w:rsidR="001826D2">
        <w:t xml:space="preserve">Figure </w:t>
      </w:r>
      <w:r w:rsidR="001826D2">
        <w:rPr>
          <w:noProof/>
        </w:rPr>
        <w:t>3</w:t>
      </w:r>
      <w:r w:rsidR="001826D2">
        <w:t>.</w:t>
      </w:r>
      <w:r w:rsidR="001826D2">
        <w:rPr>
          <w:noProof/>
        </w:rPr>
        <w:t>8</w:t>
      </w:r>
      <w:r w:rsidR="001826D2">
        <w:fldChar w:fldCharType="end"/>
      </w:r>
      <w:r>
        <w:t>.</w:t>
      </w:r>
    </w:p>
    <w:p w14:paraId="7F11A531" w14:textId="696FF19C" w:rsidR="002D6860" w:rsidRDefault="00F7314E" w:rsidP="00581E8F">
      <w:r>
        <w:rPr>
          <w:noProof/>
        </w:rPr>
        <w:lastRenderedPageBreak/>
        <w:drawing>
          <wp:inline distT="0" distB="0" distL="0" distR="0" wp14:anchorId="0694D261" wp14:editId="5FD4F74A">
            <wp:extent cx="5996940" cy="3063240"/>
            <wp:effectExtent l="0" t="0" r="3810" b="3810"/>
            <wp:docPr id="605515143" name="Chart 1">
              <a:extLst xmlns:a="http://schemas.openxmlformats.org/drawingml/2006/main">
                <a:ext uri="{FF2B5EF4-FFF2-40B4-BE49-F238E27FC236}">
                  <a16:creationId xmlns:a16="http://schemas.microsoft.com/office/drawing/2014/main" id="{B734EB48-608D-4418-B906-F709B660E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2D21F4" w14:textId="37458527" w:rsidR="001826D2" w:rsidRDefault="001826D2" w:rsidP="001826D2">
      <w:pPr>
        <w:pStyle w:val="Caption"/>
        <w:rPr>
          <w:b w:val="0"/>
          <w:bCs w:val="0"/>
        </w:rPr>
      </w:pPr>
      <w:bookmarkStart w:id="69" w:name="_Ref209772324"/>
      <w:bookmarkStart w:id="70" w:name="_Toc222131925"/>
      <w:r>
        <w:t xml:space="preserve">Figure </w:t>
      </w:r>
      <w:r w:rsidR="00946EE5">
        <w:fldChar w:fldCharType="begin"/>
      </w:r>
      <w:r w:rsidR="00946EE5">
        <w:instrText xml:space="preserve"> STYLEREF 1 \s </w:instrText>
      </w:r>
      <w:r w:rsidR="00946EE5">
        <w:fldChar w:fldCharType="separate"/>
      </w:r>
      <w:r w:rsidR="00946EE5">
        <w:rPr>
          <w:noProof/>
        </w:rPr>
        <w:t>3</w:t>
      </w:r>
      <w:r w:rsidR="00946EE5">
        <w:fldChar w:fldCharType="end"/>
      </w:r>
      <w:r w:rsidR="00946EE5">
        <w:t>.</w:t>
      </w:r>
      <w:r w:rsidR="00946EE5">
        <w:fldChar w:fldCharType="begin"/>
      </w:r>
      <w:r w:rsidR="00946EE5">
        <w:instrText xml:space="preserve"> SEQ Figure \* ARABIC \s 1 </w:instrText>
      </w:r>
      <w:r w:rsidR="00946EE5">
        <w:fldChar w:fldCharType="separate"/>
      </w:r>
      <w:r w:rsidR="00946EE5">
        <w:rPr>
          <w:noProof/>
        </w:rPr>
        <w:t>8</w:t>
      </w:r>
      <w:r w:rsidR="00946EE5">
        <w:fldChar w:fldCharType="end"/>
      </w:r>
      <w:bookmarkEnd w:id="69"/>
      <w:r>
        <w:t xml:space="preserve"> - </w:t>
      </w:r>
      <w:r w:rsidRPr="002D6860">
        <w:rPr>
          <w:rFonts w:eastAsia="Arial" w:cs="Arial"/>
          <w:kern w:val="18"/>
          <w:lang w:val="en-IE"/>
        </w:rPr>
        <w:t>NO</w:t>
      </w:r>
      <w:r w:rsidRPr="002D6860">
        <w:rPr>
          <w:rFonts w:eastAsia="Arial" w:cs="Arial"/>
          <w:kern w:val="18"/>
          <w:vertAlign w:val="subscript"/>
          <w:lang w:val="en-IE"/>
        </w:rPr>
        <w:t>2</w:t>
      </w:r>
      <w:r w:rsidRPr="002D6860">
        <w:t xml:space="preserve"> Source Apportionment at Stephenson Road (DT81) – Background Contribution Detail</w:t>
      </w:r>
      <w:bookmarkEnd w:id="70"/>
    </w:p>
    <w:p w14:paraId="425E85A1" w14:textId="3BC5D5C0" w:rsidR="00F7314E" w:rsidRDefault="007B6E37" w:rsidP="00F7314E">
      <w:r>
        <w:t>In summary, t</w:t>
      </w:r>
      <w:r w:rsidR="00F7314E">
        <w:t>his indicates that actions targeted towards reducing emissions from road vehicles, particularly</w:t>
      </w:r>
      <w:r w:rsidR="00DE1F7B">
        <w:t xml:space="preserve"> buses at Market Street and St Mary’s Place, and</w:t>
      </w:r>
      <w:r w:rsidR="00F7314E">
        <w:t xml:space="preserve"> diesel cars at Stephenson Road, are likely to be most effective to </w:t>
      </w:r>
      <w:r w:rsidR="00F7314E" w:rsidRPr="00F7314E">
        <w:t xml:space="preserve">reducing </w:t>
      </w:r>
      <w:r w:rsidR="00F7314E" w:rsidRPr="00F7314E">
        <w:rPr>
          <w:rFonts w:eastAsia="Arial" w:cs="Arial"/>
          <w:kern w:val="18"/>
          <w:lang w:val="en-IE"/>
        </w:rPr>
        <w:t>NO</w:t>
      </w:r>
      <w:r w:rsidR="00F7314E" w:rsidRPr="00F7314E">
        <w:rPr>
          <w:rFonts w:eastAsia="Arial" w:cs="Arial"/>
          <w:kern w:val="18"/>
          <w:vertAlign w:val="subscript"/>
          <w:lang w:val="en-IE"/>
        </w:rPr>
        <w:t>2</w:t>
      </w:r>
      <w:r w:rsidR="00F7314E" w:rsidRPr="00F7314E">
        <w:t xml:space="preserve"> em</w:t>
      </w:r>
      <w:r w:rsidR="00F7314E">
        <w:t xml:space="preserve">issions concentrations in Newcastle upon Tyne. </w:t>
      </w:r>
    </w:p>
    <w:p w14:paraId="2E2FE1EB" w14:textId="79E76813" w:rsidR="001935B5" w:rsidRDefault="001935B5" w:rsidP="00DF643F">
      <w:pPr>
        <w:pStyle w:val="Heading3"/>
        <w:ind w:left="567"/>
      </w:pPr>
      <w:bookmarkStart w:id="71" w:name="_Toc222131868"/>
      <w:r>
        <w:t xml:space="preserve">Road Traffic Data Source </w:t>
      </w:r>
      <w:r w:rsidRPr="001935B5">
        <w:rPr>
          <w:szCs w:val="24"/>
        </w:rPr>
        <w:t xml:space="preserve">Apportionment </w:t>
      </w:r>
      <w:r w:rsidRPr="00D04771">
        <w:rPr>
          <w:rFonts w:eastAsia="Arial"/>
          <w:kern w:val="18"/>
          <w:szCs w:val="24"/>
          <w:lang w:val="en-IE"/>
        </w:rPr>
        <w:t>PM</w:t>
      </w:r>
      <w:r w:rsidRPr="00D04771">
        <w:rPr>
          <w:rFonts w:eastAsia="Arial"/>
          <w:kern w:val="18"/>
          <w:szCs w:val="24"/>
          <w:vertAlign w:val="subscript"/>
          <w:lang w:val="en-IE"/>
        </w:rPr>
        <w:t>10</w:t>
      </w:r>
      <w:r w:rsidRPr="001935B5">
        <w:rPr>
          <w:rFonts w:eastAsia="Arial"/>
          <w:kern w:val="18"/>
          <w:szCs w:val="24"/>
          <w:lang w:val="en-IE"/>
        </w:rPr>
        <w:t xml:space="preserve"> and </w:t>
      </w:r>
      <w:r w:rsidRPr="00D04771">
        <w:rPr>
          <w:rFonts w:eastAsia="Arial"/>
          <w:kern w:val="18"/>
          <w:szCs w:val="24"/>
          <w:lang w:val="en-IE"/>
        </w:rPr>
        <w:t>PM</w:t>
      </w:r>
      <w:r w:rsidRPr="00D04771">
        <w:rPr>
          <w:rFonts w:eastAsia="Arial"/>
          <w:kern w:val="18"/>
          <w:szCs w:val="24"/>
          <w:vertAlign w:val="subscript"/>
          <w:lang w:val="en-IE"/>
        </w:rPr>
        <w:t>2.5</w:t>
      </w:r>
      <w:bookmarkEnd w:id="71"/>
      <w:r w:rsidR="004573FE">
        <w:rPr>
          <w:rFonts w:eastAsia="Arial"/>
          <w:kern w:val="18"/>
          <w:szCs w:val="24"/>
          <w:lang w:val="en-IE"/>
        </w:rPr>
        <w:t xml:space="preserve"> </w:t>
      </w:r>
      <w:r>
        <w:t xml:space="preserve"> </w:t>
      </w:r>
    </w:p>
    <w:p w14:paraId="33314AAE" w14:textId="2ACA78E3" w:rsidR="00CF1D90" w:rsidRDefault="001935B5" w:rsidP="001935B5">
      <w:r>
        <w:t xml:space="preserve">Analysis of emissions </w:t>
      </w:r>
      <w:r w:rsidR="005A2222">
        <w:t xml:space="preserve">at the Cradlewell CMS on </w:t>
      </w:r>
      <w:r>
        <w:t xml:space="preserve">Jesmond Road </w:t>
      </w:r>
      <w:r w:rsidR="005A2222">
        <w:t xml:space="preserve">and at the Newcastle Centre CMS </w:t>
      </w:r>
      <w:r>
        <w:t>has been undertaken using the EFT v13.1 and ANPR data for St Mary’s Place and DfT data</w:t>
      </w:r>
      <w:r w:rsidR="002514F0">
        <w:rPr>
          <w:rStyle w:val="FootnoteReference"/>
        </w:rPr>
        <w:footnoteReference w:id="11"/>
      </w:r>
      <w:r>
        <w:t xml:space="preserve"> for Jesmond Road for 2024 to determine the main </w:t>
      </w:r>
      <w:r w:rsidR="00EE1252">
        <w:t>source</w:t>
      </w:r>
      <w:r w:rsidRPr="00EB179C">
        <w:t xml:space="preserve"> contributions </w:t>
      </w:r>
      <w:r w:rsidRPr="001935B5">
        <w:t xml:space="preserve">of </w:t>
      </w:r>
      <w:r w:rsidRPr="00D04771">
        <w:rPr>
          <w:rFonts w:cs="Arial"/>
          <w:lang w:val="en-IE"/>
        </w:rPr>
        <w:t>PM</w:t>
      </w:r>
      <w:r w:rsidRPr="00D04771">
        <w:rPr>
          <w:rFonts w:cs="Arial"/>
          <w:vertAlign w:val="subscript"/>
          <w:lang w:val="en-IE"/>
        </w:rPr>
        <w:t>10</w:t>
      </w:r>
      <w:r w:rsidRPr="001935B5">
        <w:t xml:space="preserve"> and </w:t>
      </w:r>
      <w:r w:rsidRPr="00D04771">
        <w:rPr>
          <w:rFonts w:cs="Arial"/>
          <w:lang w:val="en-IE"/>
        </w:rPr>
        <w:t>PM</w:t>
      </w:r>
      <w:r w:rsidRPr="00D04771">
        <w:rPr>
          <w:rFonts w:cs="Arial"/>
          <w:vertAlign w:val="subscript"/>
          <w:lang w:val="en-IE"/>
        </w:rPr>
        <w:t>2.5</w:t>
      </w:r>
      <w:r w:rsidRPr="00EB179C">
        <w:t xml:space="preserve">. </w:t>
      </w:r>
      <w:r w:rsidR="004C0067">
        <w:t xml:space="preserve">It was decided to use the DfT data for Jesmond Road instead of the ANPR data for Stephenson Road which is located further north-east as the DfT counter is located closer to the </w:t>
      </w:r>
      <w:r w:rsidR="00946EE5">
        <w:t>Cradlewell CMS and</w:t>
      </w:r>
      <w:r w:rsidR="004C0067">
        <w:t xml:space="preserve"> therefore represents the traffic breakdown better. </w:t>
      </w:r>
    </w:p>
    <w:p w14:paraId="1B6B024A" w14:textId="59F1A899" w:rsidR="00CF1D90" w:rsidRDefault="00CF1D90" w:rsidP="001935B5">
      <w:pPr>
        <w:rPr>
          <w:b/>
          <w:bCs/>
          <w:color w:val="006726"/>
        </w:rPr>
      </w:pPr>
      <w:r>
        <w:rPr>
          <w:b/>
          <w:bCs/>
          <w:color w:val="006726"/>
        </w:rPr>
        <w:t>Jesmond Road</w:t>
      </w:r>
    </w:p>
    <w:p w14:paraId="1A9445D2" w14:textId="42B5782D" w:rsidR="0047044D" w:rsidRPr="0047044D" w:rsidRDefault="00C77411" w:rsidP="0047044D">
      <w:r>
        <w:lastRenderedPageBreak/>
        <w:fldChar w:fldCharType="begin"/>
      </w:r>
      <w:r>
        <w:instrText xml:space="preserve"> REF _Ref211004199 \h </w:instrText>
      </w:r>
      <w:r>
        <w:fldChar w:fldCharType="separate"/>
      </w:r>
      <w:r>
        <w:t xml:space="preserve">Figure </w:t>
      </w:r>
      <w:r>
        <w:rPr>
          <w:noProof/>
        </w:rPr>
        <w:t>3</w:t>
      </w:r>
      <w:r>
        <w:t>.</w:t>
      </w:r>
      <w:r>
        <w:rPr>
          <w:noProof/>
        </w:rPr>
        <w:t>9</w:t>
      </w:r>
      <w:r>
        <w:fldChar w:fldCharType="end"/>
      </w:r>
      <w:r>
        <w:t xml:space="preserve"> s</w:t>
      </w:r>
      <w:r w:rsidR="0047044D">
        <w:t xml:space="preserve">hows that direct road contributions account for only 4% (0.5 </w:t>
      </w:r>
      <w:r w:rsidR="0047044D" w:rsidRPr="0047044D">
        <w:rPr>
          <w:lang w:val="en-IE"/>
        </w:rPr>
        <w:t>µg/m</w:t>
      </w:r>
      <w:r w:rsidR="0047044D" w:rsidRPr="0047044D">
        <w:rPr>
          <w:vertAlign w:val="superscript"/>
          <w:lang w:val="en-IE"/>
        </w:rPr>
        <w:t>3</w:t>
      </w:r>
      <w:r w:rsidR="0047044D">
        <w:rPr>
          <w:lang w:val="en-IE"/>
        </w:rPr>
        <w:t>) of total PM</w:t>
      </w:r>
      <w:r w:rsidR="0047044D" w:rsidRPr="00DF643F">
        <w:rPr>
          <w:vertAlign w:val="subscript"/>
          <w:lang w:val="en-IE"/>
        </w:rPr>
        <w:t>10</w:t>
      </w:r>
      <w:r w:rsidR="0047044D">
        <w:rPr>
          <w:lang w:val="en-IE"/>
        </w:rPr>
        <w:t xml:space="preserve"> concentration at Jesmond Road. Background pollution accounts for the majority 96% (12.5 </w:t>
      </w:r>
      <w:r w:rsidR="0047044D" w:rsidRPr="00EB179C">
        <w:rPr>
          <w:rFonts w:eastAsia="Arial" w:cs="Arial"/>
          <w:kern w:val="18"/>
          <w:lang w:val="en-IE"/>
        </w:rPr>
        <w:t>µg/m</w:t>
      </w:r>
      <w:r w:rsidR="0047044D" w:rsidRPr="00EB179C">
        <w:rPr>
          <w:rFonts w:eastAsia="Arial" w:cs="Arial"/>
          <w:kern w:val="18"/>
          <w:vertAlign w:val="superscript"/>
          <w:lang w:val="en-IE"/>
        </w:rPr>
        <w:t>3</w:t>
      </w:r>
      <w:r w:rsidR="0047044D">
        <w:rPr>
          <w:rFonts w:eastAsia="Arial" w:cs="Arial"/>
          <w:kern w:val="18"/>
          <w:lang w:val="en-IE"/>
        </w:rPr>
        <w:t>) of total PM</w:t>
      </w:r>
      <w:r w:rsidR="0047044D" w:rsidRPr="00DF643F">
        <w:rPr>
          <w:rFonts w:eastAsia="Arial" w:cs="Arial"/>
          <w:kern w:val="18"/>
          <w:vertAlign w:val="subscript"/>
          <w:lang w:val="en-IE"/>
        </w:rPr>
        <w:t>10</w:t>
      </w:r>
      <w:r w:rsidR="0047044D">
        <w:rPr>
          <w:rFonts w:eastAsia="Arial" w:cs="Arial"/>
          <w:kern w:val="18"/>
          <w:lang w:val="en-IE"/>
        </w:rPr>
        <w:t>.</w:t>
      </w:r>
    </w:p>
    <w:p w14:paraId="68110443" w14:textId="71E88945" w:rsidR="004C0067" w:rsidRDefault="001935B5" w:rsidP="0047044D">
      <w:pPr>
        <w:rPr>
          <w:b/>
          <w:bCs/>
          <w:color w:val="006726"/>
        </w:rPr>
      </w:pPr>
      <w:r>
        <w:rPr>
          <w:noProof/>
        </w:rPr>
        <w:drawing>
          <wp:inline distT="0" distB="0" distL="0" distR="0" wp14:anchorId="36A358C5" wp14:editId="04C8F95B">
            <wp:extent cx="5692140" cy="2865120"/>
            <wp:effectExtent l="0" t="0" r="3810" b="11430"/>
            <wp:docPr id="1540618967" name="Chart 1">
              <a:extLst xmlns:a="http://schemas.openxmlformats.org/drawingml/2006/main">
                <a:ext uri="{FF2B5EF4-FFF2-40B4-BE49-F238E27FC236}">
                  <a16:creationId xmlns:a16="http://schemas.microsoft.com/office/drawing/2014/main" id="{67E92AD2-433D-F108-423F-7460C31B2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8330DE" w14:textId="00E70CD6" w:rsidR="00C77411" w:rsidRPr="00DF643F" w:rsidRDefault="00C77411" w:rsidP="00C77411">
      <w:pPr>
        <w:pStyle w:val="Caption"/>
        <w:rPr>
          <w:b w:val="0"/>
          <w:bCs w:val="0"/>
        </w:rPr>
      </w:pPr>
      <w:bookmarkStart w:id="72" w:name="_Ref211004199"/>
      <w:bookmarkStart w:id="73" w:name="_Toc222131926"/>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9</w:t>
      </w:r>
      <w:r>
        <w:fldChar w:fldCharType="end"/>
      </w:r>
      <w:bookmarkEnd w:id="72"/>
      <w:r>
        <w:t xml:space="preserve"> - </w:t>
      </w:r>
      <w:r w:rsidRPr="00C77411">
        <w:t xml:space="preserve">Total </w:t>
      </w:r>
      <w:r w:rsidRPr="00C77411">
        <w:rPr>
          <w:lang w:val="en-IE"/>
        </w:rPr>
        <w:t>PM</w:t>
      </w:r>
      <w:r w:rsidRPr="00C77411">
        <w:rPr>
          <w:vertAlign w:val="subscript"/>
          <w:lang w:val="en-IE"/>
        </w:rPr>
        <w:t>10</w:t>
      </w:r>
      <w:r w:rsidRPr="00C77411">
        <w:rPr>
          <w:lang w:val="en-IE"/>
        </w:rPr>
        <w:t xml:space="preserve"> </w:t>
      </w:r>
      <w:r w:rsidRPr="00C77411">
        <w:t>Source Apportionment at Jesmond Road (Cradlewell continuous monitor)</w:t>
      </w:r>
      <w:bookmarkEnd w:id="73"/>
    </w:p>
    <w:p w14:paraId="20451F8E" w14:textId="3AE42F74" w:rsidR="009610D5" w:rsidRPr="009610D5" w:rsidRDefault="00946EE5" w:rsidP="00F7314E">
      <w:r>
        <w:fldChar w:fldCharType="begin"/>
      </w:r>
      <w:r>
        <w:instrText xml:space="preserve"> REF _Ref209773581 \h </w:instrText>
      </w:r>
      <w:r>
        <w:fldChar w:fldCharType="separate"/>
      </w:r>
      <w:r>
        <w:t xml:space="preserve">Figure </w:t>
      </w:r>
      <w:r>
        <w:rPr>
          <w:noProof/>
        </w:rPr>
        <w:t>3</w:t>
      </w:r>
      <w:r>
        <w:t>.</w:t>
      </w:r>
      <w:r>
        <w:rPr>
          <w:noProof/>
        </w:rPr>
        <w:t>10</w:t>
      </w:r>
      <w:r>
        <w:fldChar w:fldCharType="end"/>
      </w:r>
      <w:r>
        <w:t xml:space="preserve"> </w:t>
      </w:r>
      <w:r w:rsidR="009610D5">
        <w:t xml:space="preserve">shows the breakdown </w:t>
      </w:r>
      <w:r w:rsidR="009610D5" w:rsidRPr="009610D5">
        <w:t xml:space="preserve">of </w:t>
      </w:r>
      <w:r w:rsidR="009610D5" w:rsidRPr="00D04771">
        <w:rPr>
          <w:rFonts w:cs="Arial"/>
          <w:lang w:val="en-IE"/>
        </w:rPr>
        <w:t>PM</w:t>
      </w:r>
      <w:r w:rsidR="009610D5" w:rsidRPr="00D04771">
        <w:rPr>
          <w:rFonts w:cs="Arial"/>
          <w:vertAlign w:val="subscript"/>
          <w:lang w:val="en-IE"/>
        </w:rPr>
        <w:t>10</w:t>
      </w:r>
      <w:r w:rsidR="009610D5" w:rsidRPr="009610D5">
        <w:t xml:space="preserve"> background</w:t>
      </w:r>
      <w:r w:rsidR="009610D5">
        <w:t xml:space="preserve"> contributions at Jesmond Road from D</w:t>
      </w:r>
      <w:r w:rsidR="009D1331">
        <w:t>EFRA</w:t>
      </w:r>
      <w:r w:rsidR="009610D5">
        <w:t xml:space="preserve"> background maps</w:t>
      </w:r>
      <w:r w:rsidR="00EE1252">
        <w:t>.</w:t>
      </w:r>
      <w:r w:rsidR="009610D5">
        <w:t xml:space="preserve"> </w:t>
      </w:r>
      <w:r w:rsidR="009610D5" w:rsidRPr="009610D5">
        <w:t xml:space="preserve">61% of background </w:t>
      </w:r>
      <w:r w:rsidR="009610D5" w:rsidRPr="00D04771">
        <w:rPr>
          <w:rFonts w:cs="Arial"/>
          <w:lang w:val="en-IE"/>
        </w:rPr>
        <w:t>PM</w:t>
      </w:r>
      <w:r w:rsidR="009610D5" w:rsidRPr="00D04771">
        <w:rPr>
          <w:rFonts w:cs="Arial"/>
          <w:vertAlign w:val="subscript"/>
          <w:lang w:val="en-IE"/>
        </w:rPr>
        <w:t>10</w:t>
      </w:r>
      <w:r w:rsidR="009610D5" w:rsidRPr="009610D5">
        <w:t xml:space="preserve"> concentrations at Jesmond Road are categorised as “Other”.</w:t>
      </w:r>
      <w:r w:rsidR="009610D5">
        <w:t xml:space="preserve"> </w:t>
      </w:r>
      <w:r w:rsidR="009610D5" w:rsidRPr="009610D5">
        <w:t xml:space="preserve">Of the three defined sources, road traffic contributes only 9% of background </w:t>
      </w:r>
      <w:r w:rsidR="009610D5" w:rsidRPr="00D04771">
        <w:rPr>
          <w:rFonts w:cs="Arial"/>
          <w:lang w:val="en-IE"/>
        </w:rPr>
        <w:t>PM</w:t>
      </w:r>
      <w:r w:rsidR="009610D5" w:rsidRPr="00D04771">
        <w:rPr>
          <w:rFonts w:cs="Arial"/>
          <w:vertAlign w:val="subscript"/>
          <w:lang w:val="en-IE"/>
        </w:rPr>
        <w:t>10</w:t>
      </w:r>
      <w:r w:rsidR="009610D5" w:rsidRPr="009610D5">
        <w:t xml:space="preserve"> and </w:t>
      </w:r>
      <w:r w:rsidR="009610D5" w:rsidRPr="00D04771">
        <w:rPr>
          <w:rFonts w:cs="Arial"/>
          <w:lang w:val="en-IE"/>
        </w:rPr>
        <w:t>PM</w:t>
      </w:r>
      <w:r w:rsidR="009610D5" w:rsidRPr="00D04771">
        <w:rPr>
          <w:rFonts w:cs="Arial"/>
          <w:vertAlign w:val="subscript"/>
          <w:lang w:val="en-IE"/>
        </w:rPr>
        <w:t>2.5</w:t>
      </w:r>
      <w:r w:rsidR="009610D5" w:rsidRPr="009610D5">
        <w:t xml:space="preserve"> concentrations at both locations</w:t>
      </w:r>
      <w:r w:rsidR="005A2222">
        <w:t>. This indicates that PM</w:t>
      </w:r>
      <w:r w:rsidR="005A2222" w:rsidRPr="00D04771">
        <w:rPr>
          <w:vertAlign w:val="subscript"/>
        </w:rPr>
        <w:t>10</w:t>
      </w:r>
      <w:r w:rsidR="005A2222">
        <w:t xml:space="preserve"> is much less influenced by road traffic than NO</w:t>
      </w:r>
      <w:r w:rsidR="005A2222" w:rsidRPr="00D04771">
        <w:rPr>
          <w:vertAlign w:val="subscript"/>
        </w:rPr>
        <w:t>2</w:t>
      </w:r>
      <w:r w:rsidR="005A2222">
        <w:t xml:space="preserve"> is within Newcastle. </w:t>
      </w:r>
    </w:p>
    <w:p w14:paraId="2129F751" w14:textId="2B70C512" w:rsidR="001935B5" w:rsidRDefault="001935B5" w:rsidP="00F7314E">
      <w:r>
        <w:rPr>
          <w:noProof/>
        </w:rPr>
        <w:lastRenderedPageBreak/>
        <w:drawing>
          <wp:inline distT="0" distB="0" distL="0" distR="0" wp14:anchorId="47BE6259" wp14:editId="702ACF92">
            <wp:extent cx="5859780" cy="2849880"/>
            <wp:effectExtent l="0" t="0" r="7620" b="7620"/>
            <wp:docPr id="1495903799" name="Chart 1">
              <a:extLst xmlns:a="http://schemas.openxmlformats.org/drawingml/2006/main">
                <a:ext uri="{FF2B5EF4-FFF2-40B4-BE49-F238E27FC236}">
                  <a16:creationId xmlns:a16="http://schemas.microsoft.com/office/drawing/2014/main" id="{0CE9A358-AC52-4D01-ADC7-9958F8EA5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6F4B5F1" w14:textId="487F2CDD" w:rsidR="00946EE5" w:rsidRDefault="00946EE5" w:rsidP="00946EE5">
      <w:pPr>
        <w:pStyle w:val="Caption"/>
        <w:rPr>
          <w:b w:val="0"/>
          <w:bCs w:val="0"/>
        </w:rPr>
      </w:pPr>
      <w:bookmarkStart w:id="74" w:name="_Ref209773581"/>
      <w:bookmarkStart w:id="75" w:name="_Toc222131927"/>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10</w:t>
      </w:r>
      <w:r>
        <w:fldChar w:fldCharType="end"/>
      </w:r>
      <w:bookmarkEnd w:id="74"/>
      <w:r>
        <w:t xml:space="preserve"> - </w:t>
      </w:r>
      <w:r>
        <w:rPr>
          <w:rFonts w:eastAsia="Arial" w:cs="Arial"/>
          <w:kern w:val="18"/>
          <w:lang w:val="en-IE"/>
        </w:rPr>
        <w:t>PM</w:t>
      </w:r>
      <w:r w:rsidRPr="00D04771">
        <w:rPr>
          <w:rFonts w:eastAsia="Arial" w:cs="Arial"/>
          <w:kern w:val="18"/>
          <w:vertAlign w:val="subscript"/>
          <w:lang w:val="en-IE"/>
        </w:rPr>
        <w:t>10</w:t>
      </w:r>
      <w:r w:rsidRPr="002D6860">
        <w:t xml:space="preserve"> Source Apportionment at </w:t>
      </w:r>
      <w:r>
        <w:t>Jesmond Road</w:t>
      </w:r>
      <w:r w:rsidRPr="002D6860">
        <w:t xml:space="preserve"> (</w:t>
      </w:r>
      <w:r>
        <w:t>Cradlewell continuous monitor</w:t>
      </w:r>
      <w:r w:rsidRPr="002D6860">
        <w:t>) – Background Contribution Detail</w:t>
      </w:r>
      <w:bookmarkEnd w:id="75"/>
    </w:p>
    <w:p w14:paraId="5D800D73" w14:textId="15BEF7D1" w:rsidR="00CF1D90" w:rsidRPr="00D04771" w:rsidRDefault="005A2222" w:rsidP="001935B5">
      <w:pPr>
        <w:rPr>
          <w:b/>
          <w:bCs/>
          <w:color w:val="006726"/>
        </w:rPr>
      </w:pPr>
      <w:r>
        <w:rPr>
          <w:b/>
          <w:bCs/>
          <w:color w:val="006726"/>
        </w:rPr>
        <w:t>Newcastle Centre</w:t>
      </w:r>
    </w:p>
    <w:p w14:paraId="634DF6BE" w14:textId="2A43F4C9" w:rsidR="005A2222" w:rsidRDefault="005A2222" w:rsidP="00CF1D90">
      <w:r>
        <w:t>O</w:t>
      </w:r>
      <w:r w:rsidR="00CF1D90" w:rsidRPr="009610D5">
        <w:t xml:space="preserve">nly the breakdown of </w:t>
      </w:r>
      <w:r w:rsidR="00CF1D90" w:rsidRPr="00C70AD7">
        <w:rPr>
          <w:rFonts w:cs="Arial"/>
          <w:lang w:val="en-IE"/>
        </w:rPr>
        <w:t>PM</w:t>
      </w:r>
      <w:r w:rsidR="00CF1D90" w:rsidRPr="00C70AD7">
        <w:rPr>
          <w:rFonts w:cs="Arial"/>
          <w:vertAlign w:val="subscript"/>
          <w:lang w:val="en-IE"/>
        </w:rPr>
        <w:t>10</w:t>
      </w:r>
      <w:r w:rsidR="00CF1D90" w:rsidRPr="009610D5">
        <w:t xml:space="preserve"> and </w:t>
      </w:r>
      <w:r w:rsidR="00CF1D90" w:rsidRPr="00C70AD7">
        <w:rPr>
          <w:rFonts w:cs="Arial"/>
          <w:lang w:val="en-IE"/>
        </w:rPr>
        <w:t>PM</w:t>
      </w:r>
      <w:r w:rsidR="00CF1D90" w:rsidRPr="00C70AD7">
        <w:rPr>
          <w:rFonts w:cs="Arial"/>
          <w:vertAlign w:val="subscript"/>
          <w:lang w:val="en-IE"/>
        </w:rPr>
        <w:t>2.5</w:t>
      </w:r>
      <w:r w:rsidR="00CF1D90" w:rsidRPr="009610D5">
        <w:t xml:space="preserve"> background contributions is provided </w:t>
      </w:r>
      <w:r>
        <w:t xml:space="preserve">for </w:t>
      </w:r>
      <w:r w:rsidRPr="009610D5">
        <w:t xml:space="preserve">Newcastle </w:t>
      </w:r>
      <w:r>
        <w:t>C</w:t>
      </w:r>
      <w:r w:rsidRPr="009610D5">
        <w:t>entre</w:t>
      </w:r>
      <w:r>
        <w:t xml:space="preserve"> </w:t>
      </w:r>
      <w:r w:rsidR="00CF1D90" w:rsidRPr="009610D5">
        <w:t>as th</w:t>
      </w:r>
      <w:r>
        <w:t>is</w:t>
      </w:r>
      <w:r w:rsidR="00CF1D90" w:rsidRPr="009610D5">
        <w:t xml:space="preserve"> is an urban background site</w:t>
      </w:r>
      <w:r w:rsidR="00CF1D90">
        <w:t xml:space="preserve">. </w:t>
      </w:r>
    </w:p>
    <w:p w14:paraId="21C4EAEF" w14:textId="5EFD5A71" w:rsidR="00CF1D90" w:rsidRPr="00D04771" w:rsidRDefault="00946EE5" w:rsidP="001935B5">
      <w:r>
        <w:fldChar w:fldCharType="begin"/>
      </w:r>
      <w:r>
        <w:instrText xml:space="preserve"> REF _Ref209773744 \h </w:instrText>
      </w:r>
      <w:r>
        <w:fldChar w:fldCharType="separate"/>
      </w:r>
      <w:r>
        <w:t xml:space="preserve">Figure </w:t>
      </w:r>
      <w:r>
        <w:rPr>
          <w:noProof/>
        </w:rPr>
        <w:t>3</w:t>
      </w:r>
      <w:r>
        <w:t>.</w:t>
      </w:r>
      <w:r>
        <w:rPr>
          <w:noProof/>
        </w:rPr>
        <w:t>11</w:t>
      </w:r>
      <w:r>
        <w:fldChar w:fldCharType="end"/>
      </w:r>
      <w:r>
        <w:t xml:space="preserve"> </w:t>
      </w:r>
      <w:r w:rsidR="00EE1252" w:rsidRPr="009610D5">
        <w:t xml:space="preserve">shows the breakdown of </w:t>
      </w:r>
      <w:r w:rsidR="00EE1252" w:rsidRPr="00C70AD7">
        <w:rPr>
          <w:rFonts w:cs="Arial"/>
          <w:lang w:val="en-IE"/>
        </w:rPr>
        <w:t>PM</w:t>
      </w:r>
      <w:r w:rsidR="00EE1252">
        <w:rPr>
          <w:rFonts w:cs="Arial"/>
          <w:vertAlign w:val="subscript"/>
          <w:lang w:val="en-IE"/>
        </w:rPr>
        <w:t>10</w:t>
      </w:r>
      <w:r w:rsidR="00EE1252" w:rsidRPr="009610D5">
        <w:t xml:space="preserve"> background contributions at </w:t>
      </w:r>
      <w:r w:rsidR="00EE1252">
        <w:t>Newcastle Centre</w:t>
      </w:r>
      <w:r w:rsidR="00EE1252" w:rsidRPr="009610D5">
        <w:t xml:space="preserve"> from D</w:t>
      </w:r>
      <w:r w:rsidR="009D1331">
        <w:t>EFRA</w:t>
      </w:r>
      <w:r w:rsidR="00EE1252" w:rsidRPr="009610D5">
        <w:t xml:space="preserve"> background maps</w:t>
      </w:r>
      <w:r w:rsidR="00EE1252">
        <w:t xml:space="preserve"> and</w:t>
      </w:r>
      <w:r w:rsidR="005A2222" w:rsidRPr="009610D5">
        <w:t xml:space="preserve"> </w:t>
      </w:r>
      <w:r>
        <w:fldChar w:fldCharType="begin"/>
      </w:r>
      <w:r>
        <w:instrText xml:space="preserve"> REF _Ref209773780 \h </w:instrText>
      </w:r>
      <w:r>
        <w:fldChar w:fldCharType="separate"/>
      </w:r>
      <w:r>
        <w:t xml:space="preserve">Figure </w:t>
      </w:r>
      <w:r>
        <w:rPr>
          <w:noProof/>
        </w:rPr>
        <w:t>3</w:t>
      </w:r>
      <w:r>
        <w:t>.</w:t>
      </w:r>
      <w:r>
        <w:rPr>
          <w:noProof/>
        </w:rPr>
        <w:t>12</w:t>
      </w:r>
      <w:r>
        <w:fldChar w:fldCharType="end"/>
      </w:r>
      <w:r>
        <w:t xml:space="preserve"> </w:t>
      </w:r>
      <w:r w:rsidR="00EE1252" w:rsidRPr="009610D5">
        <w:t xml:space="preserve">shows the same for </w:t>
      </w:r>
      <w:r w:rsidR="00EE1252">
        <w:t>PM</w:t>
      </w:r>
      <w:r w:rsidR="00EE1252" w:rsidRPr="00D04771">
        <w:rPr>
          <w:vertAlign w:val="subscript"/>
        </w:rPr>
        <w:t>2.5</w:t>
      </w:r>
      <w:r w:rsidR="00EE1252" w:rsidRPr="009610D5">
        <w:t>.</w:t>
      </w:r>
      <w:r w:rsidR="005A2222" w:rsidRPr="009610D5">
        <w:t xml:space="preserve"> 62% of background </w:t>
      </w:r>
      <w:r w:rsidR="005A2222" w:rsidRPr="00C70AD7">
        <w:rPr>
          <w:rFonts w:cs="Arial"/>
          <w:lang w:val="en-IE"/>
        </w:rPr>
        <w:t>PM</w:t>
      </w:r>
      <w:r w:rsidR="005A2222" w:rsidRPr="00C70AD7">
        <w:rPr>
          <w:rFonts w:cs="Arial"/>
          <w:vertAlign w:val="subscript"/>
          <w:lang w:val="en-IE"/>
        </w:rPr>
        <w:t>10</w:t>
      </w:r>
      <w:r w:rsidR="005A2222" w:rsidRPr="009610D5">
        <w:t xml:space="preserve"> concentrations and 59% of background </w:t>
      </w:r>
      <w:r w:rsidR="005A2222" w:rsidRPr="00C70AD7">
        <w:rPr>
          <w:rFonts w:cs="Arial"/>
          <w:lang w:val="en-IE"/>
        </w:rPr>
        <w:t>PM</w:t>
      </w:r>
      <w:r w:rsidR="005A2222" w:rsidRPr="00C70AD7">
        <w:rPr>
          <w:rFonts w:cs="Arial"/>
          <w:vertAlign w:val="subscript"/>
          <w:lang w:val="en-IE"/>
        </w:rPr>
        <w:t>2.5</w:t>
      </w:r>
      <w:r w:rsidR="005A2222" w:rsidRPr="009610D5">
        <w:t xml:space="preserve"> concentrations at </w:t>
      </w:r>
      <w:r w:rsidR="00EE1252">
        <w:t>Newcastle Centre</w:t>
      </w:r>
      <w:r w:rsidR="005A2222" w:rsidRPr="009610D5">
        <w:t xml:space="preserve"> are categorised as “Other”</w:t>
      </w:r>
      <w:r w:rsidR="00EE1252">
        <w:t>. The source contribution of PM</w:t>
      </w:r>
      <w:r w:rsidR="00EE1252" w:rsidRPr="00D04771">
        <w:rPr>
          <w:vertAlign w:val="subscript"/>
        </w:rPr>
        <w:t>10</w:t>
      </w:r>
      <w:r w:rsidR="00EE1252">
        <w:t xml:space="preserve"> and PM</w:t>
      </w:r>
      <w:r w:rsidR="00EE1252" w:rsidRPr="00D04771">
        <w:rPr>
          <w:vertAlign w:val="subscript"/>
        </w:rPr>
        <w:t>2.5</w:t>
      </w:r>
      <w:r w:rsidR="00EE1252">
        <w:t xml:space="preserve"> are very similar, with PM</w:t>
      </w:r>
      <w:r w:rsidR="00EE1252" w:rsidRPr="00D04771">
        <w:rPr>
          <w:vertAlign w:val="subscript"/>
        </w:rPr>
        <w:t>2.5</w:t>
      </w:r>
      <w:r w:rsidR="00EE1252">
        <w:t xml:space="preserve"> having a slightly increased contribution from domestic sources, and a slightly decreased contribution from industry.</w:t>
      </w:r>
    </w:p>
    <w:p w14:paraId="2F408741" w14:textId="3674B46A" w:rsidR="00276F2F" w:rsidRDefault="009610D5" w:rsidP="00276F2F">
      <w:pPr>
        <w:rPr>
          <w:noProof/>
        </w:rPr>
      </w:pPr>
      <w:r>
        <w:rPr>
          <w:noProof/>
        </w:rPr>
        <w:lastRenderedPageBreak/>
        <w:drawing>
          <wp:inline distT="0" distB="0" distL="0" distR="0" wp14:anchorId="1F2E21B4" wp14:editId="40498A36">
            <wp:extent cx="5806440" cy="2994660"/>
            <wp:effectExtent l="0" t="0" r="3810" b="15240"/>
            <wp:docPr id="976195870" name="Chart 1">
              <a:extLst xmlns:a="http://schemas.openxmlformats.org/drawingml/2006/main">
                <a:ext uri="{FF2B5EF4-FFF2-40B4-BE49-F238E27FC236}">
                  <a16:creationId xmlns:a16="http://schemas.microsoft.com/office/drawing/2014/main" id="{A185B72D-2323-40CE-8399-E698A36C8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5E658B4" w14:textId="77777777" w:rsidR="00276F2F" w:rsidRDefault="00276F2F" w:rsidP="00276F2F">
      <w:pPr>
        <w:pStyle w:val="Caption"/>
        <w:rPr>
          <w:b w:val="0"/>
          <w:bCs w:val="0"/>
        </w:rPr>
      </w:pPr>
      <w:bookmarkStart w:id="76" w:name="_Toc222131928"/>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11</w:t>
      </w:r>
      <w:r>
        <w:fldChar w:fldCharType="end"/>
      </w:r>
      <w:r>
        <w:t xml:space="preserve"> - </w:t>
      </w:r>
      <w:r>
        <w:rPr>
          <w:rFonts w:eastAsia="Arial" w:cs="Arial"/>
          <w:kern w:val="18"/>
          <w:lang w:val="en-IE"/>
        </w:rPr>
        <w:t>PM</w:t>
      </w:r>
      <w:r w:rsidRPr="00F45C7C">
        <w:rPr>
          <w:rFonts w:eastAsia="Arial" w:cs="Arial"/>
          <w:kern w:val="18"/>
          <w:vertAlign w:val="subscript"/>
          <w:lang w:val="en-IE"/>
        </w:rPr>
        <w:t>10</w:t>
      </w:r>
      <w:r w:rsidRPr="002D6860">
        <w:t xml:space="preserve"> Source Apportionment at </w:t>
      </w:r>
      <w:r>
        <w:t>St Mary’s Place</w:t>
      </w:r>
      <w:r w:rsidRPr="002D6860">
        <w:t xml:space="preserve"> (</w:t>
      </w:r>
      <w:r>
        <w:t>Newcastle City Centre continuous monitor</w:t>
      </w:r>
      <w:r w:rsidRPr="002D6860">
        <w:t>) – Background Contribution Detail</w:t>
      </w:r>
      <w:bookmarkEnd w:id="76"/>
    </w:p>
    <w:p w14:paraId="77541AB5" w14:textId="77777777" w:rsidR="00276F2F" w:rsidRPr="00DF643F" w:rsidRDefault="00276F2F" w:rsidP="00276F2F"/>
    <w:p w14:paraId="24638C44" w14:textId="3357AE1F" w:rsidR="009610D5" w:rsidRDefault="009610D5" w:rsidP="00F7314E">
      <w:r>
        <w:rPr>
          <w:noProof/>
        </w:rPr>
        <w:drawing>
          <wp:inline distT="0" distB="0" distL="0" distR="0" wp14:anchorId="45BF9C60" wp14:editId="3B590BA6">
            <wp:extent cx="5478780" cy="2766060"/>
            <wp:effectExtent l="0" t="0" r="7620" b="15240"/>
            <wp:docPr id="908813351" name="Chart 1">
              <a:extLst xmlns:a="http://schemas.openxmlformats.org/drawingml/2006/main">
                <a:ext uri="{FF2B5EF4-FFF2-40B4-BE49-F238E27FC236}">
                  <a16:creationId xmlns:a16="http://schemas.microsoft.com/office/drawing/2014/main" id="{426AEB43-E0C3-69A3-49FE-3B58A252B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5842A9" w14:textId="02599FC7" w:rsidR="00946EE5" w:rsidRDefault="00946EE5" w:rsidP="00946EE5">
      <w:pPr>
        <w:pStyle w:val="Caption"/>
        <w:rPr>
          <w:b w:val="0"/>
          <w:bCs w:val="0"/>
        </w:rPr>
      </w:pPr>
      <w:bookmarkStart w:id="77" w:name="_Ref209773780"/>
      <w:bookmarkStart w:id="78" w:name="_Toc222131929"/>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12</w:t>
      </w:r>
      <w:r>
        <w:fldChar w:fldCharType="end"/>
      </w:r>
      <w:bookmarkEnd w:id="77"/>
      <w:r>
        <w:t xml:space="preserve"> - </w:t>
      </w:r>
      <w:r>
        <w:rPr>
          <w:rFonts w:eastAsia="Arial" w:cs="Arial"/>
          <w:kern w:val="18"/>
          <w:lang w:val="en-IE"/>
        </w:rPr>
        <w:t>PM</w:t>
      </w:r>
      <w:r>
        <w:rPr>
          <w:rFonts w:eastAsia="Arial" w:cs="Arial"/>
          <w:kern w:val="18"/>
          <w:vertAlign w:val="subscript"/>
          <w:lang w:val="en-IE"/>
        </w:rPr>
        <w:t>2.5</w:t>
      </w:r>
      <w:r w:rsidRPr="002D6860">
        <w:t xml:space="preserve"> Source Apportionment at </w:t>
      </w:r>
      <w:r>
        <w:t>St Mary’s Place</w:t>
      </w:r>
      <w:r w:rsidRPr="002D6860">
        <w:t xml:space="preserve"> (</w:t>
      </w:r>
      <w:r>
        <w:t>Newcastle City Centre continuous monitor</w:t>
      </w:r>
      <w:r w:rsidRPr="002D6860">
        <w:t>) – Background Contribution Detail</w:t>
      </w:r>
      <w:bookmarkEnd w:id="78"/>
    </w:p>
    <w:p w14:paraId="36EF1F1E" w14:textId="6FC77F42" w:rsidR="00D21319" w:rsidRPr="00D21319" w:rsidRDefault="00385E79" w:rsidP="00D21319">
      <w:r>
        <w:t xml:space="preserve">Newcastle upon Tyne has </w:t>
      </w:r>
      <w:r w:rsidRPr="00385E79">
        <w:t xml:space="preserve">naturally </w:t>
      </w:r>
      <w:r w:rsidR="009D1331">
        <w:t>elevated</w:t>
      </w:r>
      <w:r w:rsidRPr="00385E79">
        <w:t xml:space="preserve"> </w:t>
      </w:r>
      <w:r w:rsidRPr="00D04771">
        <w:rPr>
          <w:rFonts w:cs="Arial"/>
          <w:lang w:val="en-IE"/>
        </w:rPr>
        <w:t>PM</w:t>
      </w:r>
      <w:r w:rsidRPr="00D04771">
        <w:rPr>
          <w:rFonts w:cs="Arial"/>
          <w:vertAlign w:val="subscript"/>
          <w:lang w:val="en-IE"/>
        </w:rPr>
        <w:t>10</w:t>
      </w:r>
      <w:r w:rsidRPr="00385E79">
        <w:t xml:space="preserve"> and </w:t>
      </w:r>
      <w:r w:rsidRPr="00D04771">
        <w:rPr>
          <w:rFonts w:cs="Arial"/>
          <w:lang w:val="en-IE"/>
        </w:rPr>
        <w:t>PM</w:t>
      </w:r>
      <w:r w:rsidRPr="00D04771">
        <w:rPr>
          <w:rFonts w:cs="Arial"/>
          <w:vertAlign w:val="subscript"/>
          <w:lang w:val="en-IE"/>
        </w:rPr>
        <w:t>2.5</w:t>
      </w:r>
      <w:r w:rsidRPr="00385E79">
        <w:t xml:space="preserve"> concentrations</w:t>
      </w:r>
      <w:r>
        <w:t xml:space="preserve"> due to it</w:t>
      </w:r>
      <w:r w:rsidR="009D1331">
        <w:t xml:space="preserve"> being eight miles from the coast</w:t>
      </w:r>
      <w:r>
        <w:t xml:space="preserve">. Of the 61% and 62% of “other” sources of </w:t>
      </w:r>
      <w:r w:rsidRPr="00D04771">
        <w:rPr>
          <w:rFonts w:cs="Arial"/>
          <w:lang w:val="en-IE"/>
        </w:rPr>
        <w:t>PM</w:t>
      </w:r>
      <w:r w:rsidRPr="00D04771">
        <w:rPr>
          <w:rFonts w:cs="Arial"/>
          <w:vertAlign w:val="subscript"/>
          <w:lang w:val="en-IE"/>
        </w:rPr>
        <w:t>10</w:t>
      </w:r>
      <w:r>
        <w:t xml:space="preserve"> at Jesmond Road and </w:t>
      </w:r>
      <w:r w:rsidR="00EE1252">
        <w:t>Newcastle Centre</w:t>
      </w:r>
      <w:r>
        <w:t>, respectively, the majority is attributed to salt particles in the air with 33% for both locations</w:t>
      </w:r>
      <w:r w:rsidR="00EE1252">
        <w:t xml:space="preserve">, but this source is usually larger than </w:t>
      </w:r>
      <w:r w:rsidR="00EE1252">
        <w:lastRenderedPageBreak/>
        <w:t>2.5</w:t>
      </w:r>
      <w:r w:rsidR="00EE1252">
        <w:rPr>
          <w:rFonts w:cs="Arial"/>
        </w:rPr>
        <w:t>µ</w:t>
      </w:r>
      <w:r w:rsidR="00EE1252">
        <w:t>m, so it only makes up 12% of the</w:t>
      </w:r>
      <w:r w:rsidRPr="00385E79">
        <w:t xml:space="preserve"> </w:t>
      </w:r>
      <w:r w:rsidRPr="00D04771">
        <w:rPr>
          <w:rFonts w:cs="Arial"/>
          <w:lang w:val="en-IE"/>
        </w:rPr>
        <w:t>PM</w:t>
      </w:r>
      <w:r w:rsidRPr="00D04771">
        <w:rPr>
          <w:rFonts w:cs="Arial"/>
          <w:vertAlign w:val="subscript"/>
          <w:lang w:val="en-IE"/>
        </w:rPr>
        <w:t>2.5</w:t>
      </w:r>
      <w:r w:rsidRPr="00385E79">
        <w:t xml:space="preserve"> at</w:t>
      </w:r>
      <w:r w:rsidR="00EE1252">
        <w:t xml:space="preserve"> Newcastle Centre. S</w:t>
      </w:r>
      <w:r>
        <w:t xml:space="preserve">econdary particulate matter contributes to the majority with 40%. Secondary particulate matter is not emitted directly from sources. It is formed in the atmosphere as a result of chemical reactions that lead to the formation of substances of low volatility which consequently condense into the solid or liquid phase, becoming particulate matter. </w:t>
      </w:r>
    </w:p>
    <w:p w14:paraId="04CB71F0" w14:textId="2FC3B30D" w:rsidR="00C51F09" w:rsidRDefault="00833852" w:rsidP="00E351DA">
      <w:pPr>
        <w:pStyle w:val="Heading2"/>
        <w:numPr>
          <w:ilvl w:val="1"/>
          <w:numId w:val="11"/>
        </w:numPr>
      </w:pPr>
      <w:bookmarkStart w:id="79" w:name="_Toc222131869"/>
      <w:r>
        <w:t>Required Reduction in Emissions</w:t>
      </w:r>
      <w:bookmarkEnd w:id="79"/>
    </w:p>
    <w:p w14:paraId="1F2E4E27" w14:textId="368676F1" w:rsidR="00357D0F" w:rsidRDefault="00357D0F" w:rsidP="00DF643F">
      <w:pPr>
        <w:pStyle w:val="Heading3"/>
        <w:ind w:left="567"/>
      </w:pPr>
      <w:bookmarkStart w:id="80" w:name="_Toc222131870"/>
      <w:r>
        <w:t>Required Reduction</w:t>
      </w:r>
      <w:bookmarkEnd w:id="80"/>
    </w:p>
    <w:p w14:paraId="30D8B494" w14:textId="6F8614F2" w:rsidR="00DE5BD9" w:rsidRPr="00357D0F" w:rsidRDefault="00DE5BD9" w:rsidP="00357D0F">
      <w:r w:rsidRPr="00357D0F">
        <w:t>In line with the methodology presented in LAQM.TG(22), the necessary reduction in road NO</w:t>
      </w:r>
      <w:r w:rsidRPr="00357D0F">
        <w:rPr>
          <w:vertAlign w:val="subscript"/>
        </w:rPr>
        <w:t>x</w:t>
      </w:r>
      <w:r w:rsidRPr="00357D0F">
        <w:t xml:space="preserve"> emissions required to bring the AQMA 1b into compliance are calculated below. This is done at the </w:t>
      </w:r>
      <w:r w:rsidR="003878BD" w:rsidRPr="00357D0F">
        <w:t xml:space="preserve">location of highest exceedance where there is relevant </w:t>
      </w:r>
      <w:r w:rsidRPr="00357D0F">
        <w:t xml:space="preserve">exposure for the declared AQMA which is Market Street (DT8). </w:t>
      </w:r>
    </w:p>
    <w:p w14:paraId="6B1F2F47" w14:textId="164C21DB" w:rsidR="00B3766E" w:rsidRPr="00B3766E" w:rsidRDefault="00B3766E" w:rsidP="0046508E">
      <w:r w:rsidRPr="00B3766E">
        <w:fldChar w:fldCharType="begin"/>
      </w:r>
      <w:r w:rsidRPr="00B3766E">
        <w:instrText xml:space="preserve"> REF _Ref209777696 \h  \* MERGEFORMAT </w:instrText>
      </w:r>
      <w:r w:rsidRPr="00B3766E">
        <w:fldChar w:fldCharType="separate"/>
      </w:r>
      <w:r w:rsidRPr="00B3766E">
        <w:t xml:space="preserve">Table </w:t>
      </w:r>
      <w:r w:rsidRPr="00B3766E">
        <w:rPr>
          <w:noProof/>
        </w:rPr>
        <w:t>3</w:t>
      </w:r>
      <w:r w:rsidRPr="00B3766E">
        <w:t>.</w:t>
      </w:r>
      <w:r w:rsidRPr="00B3766E">
        <w:rPr>
          <w:noProof/>
        </w:rPr>
        <w:t>2</w:t>
      </w:r>
      <w:r w:rsidRPr="00B3766E">
        <w:fldChar w:fldCharType="end"/>
      </w:r>
      <w:r>
        <w:t xml:space="preserve"> provides the details on the calculations of the NO</w:t>
      </w:r>
      <w:r w:rsidRPr="00B3766E">
        <w:rPr>
          <w:vertAlign w:val="subscript"/>
        </w:rPr>
        <w:t>x</w:t>
      </w:r>
      <w:r>
        <w:t xml:space="preserve"> emission reduction at Market Street (DT8). The reduction in NO</w:t>
      </w:r>
      <w:r w:rsidRPr="00B3766E">
        <w:rPr>
          <w:vertAlign w:val="subscript"/>
        </w:rPr>
        <w:t>x</w:t>
      </w:r>
      <w:r>
        <w:t xml:space="preserve"> required to achieve compliance with the annual mean NO</w:t>
      </w:r>
      <w:r w:rsidRPr="00B3766E">
        <w:rPr>
          <w:vertAlign w:val="subscript"/>
        </w:rPr>
        <w:t>2</w:t>
      </w:r>
      <w:r>
        <w:t xml:space="preserve"> objective of 36.0 </w:t>
      </w:r>
      <w:r w:rsidRPr="00EF1526">
        <w:rPr>
          <w:rFonts w:eastAsia="Arial" w:cs="Arial"/>
          <w:kern w:val="18"/>
          <w:lang w:val="en-IE"/>
        </w:rPr>
        <w:t>µg/m</w:t>
      </w:r>
      <w:r w:rsidRPr="00EF1526">
        <w:rPr>
          <w:rFonts w:eastAsia="Arial" w:cs="Arial"/>
          <w:kern w:val="18"/>
          <w:vertAlign w:val="superscript"/>
          <w:lang w:val="en-IE"/>
        </w:rPr>
        <w:t>3</w:t>
      </w:r>
      <w:r>
        <w:t xml:space="preserve"> (due to the uncertainty inherent in diffusion tube monitoring methods, concentrations within 10% of the annual mean objective are not considered compliant for LAQM purposes) at the worst-case location of DT8 is </w:t>
      </w:r>
      <w:r w:rsidR="00D64523">
        <w:t>13.5%</w:t>
      </w:r>
      <w:r>
        <w:t xml:space="preserve">. This reduction would achieve the compliance needed at the worst-case location within the AQMA 1b. </w:t>
      </w:r>
    </w:p>
    <w:p w14:paraId="1DD023C0" w14:textId="362F5C11" w:rsidR="00B3766E" w:rsidRDefault="00B3766E" w:rsidP="00B3766E">
      <w:pPr>
        <w:rPr>
          <w:b/>
          <w:bCs/>
          <w:color w:val="006726"/>
        </w:rPr>
      </w:pPr>
      <w:bookmarkStart w:id="81" w:name="_Ref209777696"/>
      <w:bookmarkStart w:id="82" w:name="_Toc222131899"/>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664F03">
        <w:rPr>
          <w:b/>
          <w:bCs/>
          <w:noProof/>
          <w:color w:val="006726"/>
        </w:rPr>
        <w:t>3</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664F03">
        <w:rPr>
          <w:b/>
          <w:bCs/>
          <w:noProof/>
          <w:color w:val="006726"/>
        </w:rPr>
        <w:t>2</w:t>
      </w:r>
      <w:r w:rsidRPr="00A85C14">
        <w:rPr>
          <w:b/>
          <w:bCs/>
          <w:color w:val="006726"/>
        </w:rPr>
        <w:fldChar w:fldCharType="end"/>
      </w:r>
      <w:bookmarkEnd w:id="81"/>
      <w:r w:rsidRPr="00A85C14">
        <w:rPr>
          <w:b/>
          <w:bCs/>
          <w:color w:val="006726"/>
        </w:rPr>
        <w:t xml:space="preserve"> – </w:t>
      </w:r>
      <w:r>
        <w:rPr>
          <w:b/>
          <w:bCs/>
          <w:color w:val="006726"/>
        </w:rPr>
        <w:t>Required NO</w:t>
      </w:r>
      <w:r w:rsidRPr="00B3766E">
        <w:rPr>
          <w:b/>
          <w:bCs/>
          <w:color w:val="006726"/>
          <w:vertAlign w:val="subscript"/>
        </w:rPr>
        <w:t>x</w:t>
      </w:r>
      <w:r>
        <w:rPr>
          <w:b/>
          <w:bCs/>
          <w:color w:val="006726"/>
        </w:rPr>
        <w:t xml:space="preserve"> emission reduction at the worst-case receptor location in AQMA 1b (Market Street (DT8))</w:t>
      </w:r>
      <w:bookmarkEnd w:id="82"/>
    </w:p>
    <w:tbl>
      <w:tblPr>
        <w:tblStyle w:val="TableStyle4"/>
        <w:tblW w:w="0" w:type="auto"/>
        <w:tblLook w:val="04A0" w:firstRow="1" w:lastRow="0" w:firstColumn="1" w:lastColumn="0" w:noHBand="0" w:noVBand="1"/>
        <w:tblCaption w:val="Declared Air Quality Management Areas"/>
        <w:tblDescription w:val="The table shows the current AQMAs that are designated within the council."/>
      </w:tblPr>
      <w:tblGrid>
        <w:gridCol w:w="5622"/>
        <w:gridCol w:w="3438"/>
      </w:tblGrid>
      <w:tr w:rsidR="00B3766E" w:rsidRPr="002A53BD" w14:paraId="3B005D9D" w14:textId="77777777" w:rsidTr="00D6452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006600"/>
          </w:tcPr>
          <w:p w14:paraId="6D59575E" w14:textId="7A74FE30" w:rsidR="00B3766E" w:rsidRPr="005754B4" w:rsidRDefault="00B3766E" w:rsidP="00444FC4">
            <w:pPr>
              <w:spacing w:before="0" w:after="0" w:line="240" w:lineRule="auto"/>
              <w:rPr>
                <w:bCs/>
                <w:color w:val="FFFFFF" w:themeColor="background1"/>
              </w:rPr>
            </w:pPr>
            <w:r w:rsidRPr="005754B4">
              <w:rPr>
                <w:bCs/>
                <w:color w:val="FFFFFF" w:themeColor="background1"/>
              </w:rPr>
              <w:t>Metric</w:t>
            </w:r>
          </w:p>
        </w:tc>
        <w:tc>
          <w:tcPr>
            <w:tcW w:w="0" w:type="auto"/>
            <w:vMerge w:val="restart"/>
            <w:shd w:val="clear" w:color="auto" w:fill="006600"/>
          </w:tcPr>
          <w:p w14:paraId="1779A01F" w14:textId="0980ADC7" w:rsidR="00B3766E" w:rsidRPr="005754B4" w:rsidRDefault="00B3766E" w:rsidP="00444FC4">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5754B4">
              <w:rPr>
                <w:bCs/>
                <w:color w:val="FFFFFF" w:themeColor="background1"/>
              </w:rPr>
              <w:t xml:space="preserve">Value (concentrations as </w:t>
            </w:r>
            <w:r w:rsidRPr="005754B4">
              <w:rPr>
                <w:rFonts w:cs="Arial"/>
                <w:bCs/>
                <w:kern w:val="18"/>
                <w:lang w:val="en-IE"/>
              </w:rPr>
              <w:t>µg/m</w:t>
            </w:r>
            <w:r w:rsidRPr="005754B4">
              <w:rPr>
                <w:rFonts w:cs="Arial"/>
                <w:bCs/>
                <w:kern w:val="18"/>
                <w:vertAlign w:val="superscript"/>
                <w:lang w:val="en-IE"/>
              </w:rPr>
              <w:t>3</w:t>
            </w:r>
            <w:r w:rsidRPr="005754B4">
              <w:rPr>
                <w:rFonts w:cs="Arial"/>
                <w:bCs/>
                <w:kern w:val="18"/>
                <w:lang w:val="en-IE"/>
              </w:rPr>
              <w:t>)</w:t>
            </w:r>
          </w:p>
        </w:tc>
      </w:tr>
      <w:tr w:rsidR="00B3766E" w:rsidRPr="002A53BD" w14:paraId="551A7573" w14:textId="77777777" w:rsidTr="00D64523">
        <w:trPr>
          <w:trHeight w:val="31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006600"/>
          </w:tcPr>
          <w:p w14:paraId="18142083" w14:textId="77777777" w:rsidR="00B3766E" w:rsidRPr="002A53BD" w:rsidRDefault="00B3766E" w:rsidP="00444FC4">
            <w:pPr>
              <w:spacing w:before="0" w:after="0" w:line="240" w:lineRule="auto"/>
              <w:rPr>
                <w:rFonts w:eastAsia="Times New Roman" w:cs="Arial"/>
                <w:bCs/>
                <w:color w:val="FFFFFF" w:themeColor="background1"/>
                <w:lang w:val="en-US" w:eastAsia="zh-CN"/>
              </w:rPr>
            </w:pPr>
          </w:p>
        </w:tc>
        <w:tc>
          <w:tcPr>
            <w:tcW w:w="0" w:type="auto"/>
            <w:vMerge/>
            <w:shd w:val="clear" w:color="auto" w:fill="006600"/>
          </w:tcPr>
          <w:p w14:paraId="572FF836" w14:textId="77777777" w:rsidR="00B3766E" w:rsidRPr="002A53BD" w:rsidRDefault="00B3766E" w:rsidP="00444FC4">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r>
      <w:tr w:rsidR="00B3766E" w:rsidRPr="002A53BD" w14:paraId="386028CB" w14:textId="77777777" w:rsidTr="00D64523">
        <w:trPr>
          <w:trHeight w:val="880"/>
        </w:trPr>
        <w:tc>
          <w:tcPr>
            <w:cnfStyle w:val="001000000000" w:firstRow="0" w:lastRow="0" w:firstColumn="1" w:lastColumn="0" w:oddVBand="0" w:evenVBand="0" w:oddHBand="0" w:evenHBand="0" w:firstRowFirstColumn="0" w:firstRowLastColumn="0" w:lastRowFirstColumn="0" w:lastRowLastColumn="0"/>
            <w:tcW w:w="0" w:type="auto"/>
          </w:tcPr>
          <w:p w14:paraId="73188E39" w14:textId="28CC8523" w:rsidR="00B3766E" w:rsidRPr="003264CE" w:rsidRDefault="00B3766E" w:rsidP="00D64523">
            <w:pPr>
              <w:spacing w:before="0" w:after="0" w:line="240" w:lineRule="auto"/>
              <w:rPr>
                <w:rFonts w:eastAsia="Times New Roman" w:cs="Arial"/>
                <w:sz w:val="22"/>
                <w:szCs w:val="22"/>
                <w:lang w:val="en-US" w:eastAsia="zh-CN"/>
              </w:rPr>
            </w:pPr>
            <w:r>
              <w:rPr>
                <w:rFonts w:eastAsia="Times New Roman" w:cs="Arial"/>
                <w:sz w:val="22"/>
                <w:szCs w:val="22"/>
                <w:lang w:val="en-US" w:eastAsia="zh-CN"/>
              </w:rPr>
              <w:t>Worst-case relevant exposure NO</w:t>
            </w:r>
            <w:r w:rsidRPr="00B3766E">
              <w:rPr>
                <w:rFonts w:eastAsia="Times New Roman" w:cs="Arial"/>
                <w:sz w:val="22"/>
                <w:szCs w:val="22"/>
                <w:vertAlign w:val="subscript"/>
                <w:lang w:val="en-US" w:eastAsia="zh-CN"/>
              </w:rPr>
              <w:t>2</w:t>
            </w:r>
            <w:r>
              <w:rPr>
                <w:rFonts w:eastAsia="Times New Roman" w:cs="Arial"/>
                <w:sz w:val="22"/>
                <w:szCs w:val="22"/>
                <w:lang w:val="en-US" w:eastAsia="zh-CN"/>
              </w:rPr>
              <w:t xml:space="preserve"> concentration</w:t>
            </w:r>
          </w:p>
        </w:tc>
        <w:tc>
          <w:tcPr>
            <w:tcW w:w="0" w:type="auto"/>
          </w:tcPr>
          <w:p w14:paraId="12692154" w14:textId="014AFF83" w:rsidR="00B3766E" w:rsidRPr="003264CE" w:rsidRDefault="00B3766E"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Pr>
                <w:rFonts w:eastAsia="Times New Roman" w:cs="Arial"/>
                <w:sz w:val="22"/>
                <w:szCs w:val="22"/>
                <w:lang w:val="en-US" w:eastAsia="zh-CN"/>
              </w:rPr>
              <w:t>38.5</w:t>
            </w:r>
          </w:p>
        </w:tc>
      </w:tr>
      <w:tr w:rsidR="00B3766E" w:rsidRPr="002A53BD" w14:paraId="598E9192" w14:textId="77777777" w:rsidTr="00D64523">
        <w:trPr>
          <w:trHeight w:val="566"/>
        </w:trPr>
        <w:tc>
          <w:tcPr>
            <w:cnfStyle w:val="001000000000" w:firstRow="0" w:lastRow="0" w:firstColumn="1" w:lastColumn="0" w:oddVBand="0" w:evenVBand="0" w:oddHBand="0" w:evenHBand="0" w:firstRowFirstColumn="0" w:firstRowLastColumn="0" w:lastRowFirstColumn="0" w:lastRowLastColumn="0"/>
            <w:tcW w:w="0" w:type="auto"/>
          </w:tcPr>
          <w:p w14:paraId="3E7BB9DF" w14:textId="5BE4EC3F" w:rsidR="00B3766E" w:rsidRPr="003264CE" w:rsidRDefault="00B3766E" w:rsidP="00D64523">
            <w:pPr>
              <w:spacing w:before="0" w:after="0" w:line="240" w:lineRule="auto"/>
              <w:rPr>
                <w:sz w:val="22"/>
                <w:szCs w:val="22"/>
              </w:rPr>
            </w:pPr>
            <w:r>
              <w:rPr>
                <w:sz w:val="22"/>
                <w:szCs w:val="22"/>
              </w:rPr>
              <w:t>Background NO</w:t>
            </w:r>
            <w:r w:rsidRPr="00B3766E">
              <w:rPr>
                <w:sz w:val="22"/>
                <w:szCs w:val="22"/>
                <w:vertAlign w:val="subscript"/>
              </w:rPr>
              <w:t>2</w:t>
            </w:r>
          </w:p>
        </w:tc>
        <w:tc>
          <w:tcPr>
            <w:tcW w:w="0" w:type="auto"/>
          </w:tcPr>
          <w:p w14:paraId="4665F686" w14:textId="6549F511" w:rsidR="00B3766E" w:rsidRPr="003264CE" w:rsidRDefault="00B3766E"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16.1</w:t>
            </w:r>
          </w:p>
        </w:tc>
      </w:tr>
      <w:tr w:rsidR="00B3766E" w:rsidRPr="002A53BD" w14:paraId="41D9EABF" w14:textId="77777777" w:rsidTr="00D64523">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4D737EE1" w14:textId="67861499" w:rsidR="00B3766E" w:rsidRPr="003264CE" w:rsidRDefault="00B3766E" w:rsidP="00D64523">
            <w:pPr>
              <w:spacing w:before="0" w:after="0" w:line="240" w:lineRule="auto"/>
              <w:rPr>
                <w:rFonts w:cs="Arial"/>
                <w:sz w:val="22"/>
                <w:szCs w:val="22"/>
                <w:lang w:val="en-US" w:eastAsia="zh-CN"/>
              </w:rPr>
            </w:pPr>
            <w:r>
              <w:rPr>
                <w:rFonts w:cs="Arial"/>
                <w:sz w:val="22"/>
                <w:szCs w:val="22"/>
                <w:lang w:val="en-US" w:eastAsia="zh-CN"/>
              </w:rPr>
              <w:t>Road NO</w:t>
            </w:r>
            <w:r w:rsidRPr="00B3766E">
              <w:rPr>
                <w:rFonts w:cs="Arial"/>
                <w:sz w:val="22"/>
                <w:szCs w:val="22"/>
                <w:vertAlign w:val="subscript"/>
                <w:lang w:val="en-US" w:eastAsia="zh-CN"/>
              </w:rPr>
              <w:t>x</w:t>
            </w:r>
            <w:r>
              <w:rPr>
                <w:rFonts w:cs="Arial"/>
                <w:sz w:val="22"/>
                <w:szCs w:val="22"/>
                <w:lang w:val="en-US" w:eastAsia="zh-CN"/>
              </w:rPr>
              <w:t xml:space="preserve"> – Current</w:t>
            </w:r>
          </w:p>
        </w:tc>
        <w:tc>
          <w:tcPr>
            <w:tcW w:w="0" w:type="auto"/>
          </w:tcPr>
          <w:p w14:paraId="62D76CB5" w14:textId="1C52B7B8" w:rsidR="00B3766E" w:rsidRPr="003264CE" w:rsidRDefault="00D64523"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58.7</w:t>
            </w:r>
          </w:p>
        </w:tc>
      </w:tr>
      <w:tr w:rsidR="00B3766E" w:rsidRPr="002A53BD" w14:paraId="594F7788" w14:textId="77777777" w:rsidTr="00D64523">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53A52950" w14:textId="2976934B" w:rsidR="00B3766E" w:rsidRPr="00B3766E" w:rsidRDefault="00B3766E" w:rsidP="00D64523">
            <w:pPr>
              <w:spacing w:before="0" w:after="0" w:line="240" w:lineRule="auto"/>
              <w:rPr>
                <w:rFonts w:cs="Arial"/>
                <w:sz w:val="22"/>
                <w:szCs w:val="22"/>
                <w:lang w:val="en-US" w:eastAsia="zh-CN"/>
              </w:rPr>
            </w:pPr>
            <w:r>
              <w:rPr>
                <w:rFonts w:cs="Arial"/>
                <w:sz w:val="22"/>
                <w:szCs w:val="22"/>
                <w:lang w:val="en-US" w:eastAsia="zh-CN"/>
              </w:rPr>
              <w:t>Road NO</w:t>
            </w:r>
            <w:r w:rsidRPr="00B3766E">
              <w:rPr>
                <w:rFonts w:cs="Arial"/>
                <w:sz w:val="22"/>
                <w:szCs w:val="22"/>
                <w:vertAlign w:val="subscript"/>
                <w:lang w:val="en-US" w:eastAsia="zh-CN"/>
              </w:rPr>
              <w:t>x</w:t>
            </w:r>
            <w:r>
              <w:rPr>
                <w:rFonts w:cs="Arial"/>
                <w:sz w:val="22"/>
                <w:szCs w:val="22"/>
                <w:lang w:val="en-US" w:eastAsia="zh-CN"/>
              </w:rPr>
              <w:t xml:space="preserve"> – required (to achieve NO</w:t>
            </w:r>
            <w:r w:rsidRPr="00B3766E">
              <w:rPr>
                <w:rFonts w:cs="Arial"/>
                <w:sz w:val="22"/>
                <w:szCs w:val="22"/>
                <w:vertAlign w:val="subscript"/>
                <w:lang w:val="en-US" w:eastAsia="zh-CN"/>
              </w:rPr>
              <w:t>2</w:t>
            </w:r>
            <w:r>
              <w:rPr>
                <w:rFonts w:cs="Arial"/>
                <w:sz w:val="22"/>
                <w:szCs w:val="22"/>
                <w:lang w:val="en-US" w:eastAsia="zh-CN"/>
              </w:rPr>
              <w:t xml:space="preserve"> concentration of </w:t>
            </w:r>
            <w:r w:rsidRPr="00B3766E">
              <w:rPr>
                <w:rFonts w:cs="Arial"/>
                <w:sz w:val="22"/>
                <w:szCs w:val="22"/>
                <w:lang w:val="en-US" w:eastAsia="zh-CN"/>
              </w:rPr>
              <w:t xml:space="preserve">36.0 </w:t>
            </w:r>
            <w:r w:rsidRPr="00B3766E">
              <w:rPr>
                <w:rFonts w:cs="Arial"/>
                <w:kern w:val="18"/>
                <w:lang w:val="en-IE"/>
              </w:rPr>
              <w:t>µg/m</w:t>
            </w:r>
            <w:r w:rsidRPr="00B3766E">
              <w:rPr>
                <w:rFonts w:cs="Arial"/>
                <w:kern w:val="18"/>
                <w:vertAlign w:val="superscript"/>
                <w:lang w:val="en-IE"/>
              </w:rPr>
              <w:t>3</w:t>
            </w:r>
            <w:r w:rsidRPr="00B3766E">
              <w:rPr>
                <w:rFonts w:cs="Arial"/>
                <w:kern w:val="18"/>
                <w:lang w:val="en-IE"/>
              </w:rPr>
              <w:t>)</w:t>
            </w:r>
          </w:p>
        </w:tc>
        <w:tc>
          <w:tcPr>
            <w:tcW w:w="0" w:type="auto"/>
          </w:tcPr>
          <w:p w14:paraId="022ED289" w14:textId="703DB29B" w:rsidR="00B3766E" w:rsidRPr="003264CE" w:rsidRDefault="00D64523"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50.8</w:t>
            </w:r>
          </w:p>
        </w:tc>
      </w:tr>
      <w:tr w:rsidR="00B3766E" w:rsidRPr="002A53BD" w14:paraId="46FE2EF7" w14:textId="77777777" w:rsidTr="00D64523">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109B94A2" w14:textId="02E3CF66" w:rsidR="00B3766E" w:rsidRDefault="00B3766E" w:rsidP="00D64523">
            <w:pPr>
              <w:spacing w:before="0" w:after="0" w:line="240" w:lineRule="auto"/>
              <w:rPr>
                <w:rFonts w:cs="Arial"/>
                <w:sz w:val="22"/>
                <w:szCs w:val="22"/>
                <w:lang w:val="en-US" w:eastAsia="zh-CN"/>
              </w:rPr>
            </w:pPr>
            <w:r>
              <w:rPr>
                <w:rFonts w:cs="Arial"/>
                <w:sz w:val="22"/>
                <w:szCs w:val="22"/>
                <w:lang w:val="en-US" w:eastAsia="zh-CN"/>
              </w:rPr>
              <w:t>Required road NO</w:t>
            </w:r>
            <w:r w:rsidRPr="00B3766E">
              <w:rPr>
                <w:rFonts w:cs="Arial"/>
                <w:sz w:val="22"/>
                <w:szCs w:val="22"/>
                <w:vertAlign w:val="subscript"/>
                <w:lang w:val="en-US" w:eastAsia="zh-CN"/>
              </w:rPr>
              <w:t>x</w:t>
            </w:r>
            <w:r>
              <w:rPr>
                <w:rFonts w:cs="Arial"/>
                <w:sz w:val="22"/>
                <w:szCs w:val="22"/>
                <w:lang w:val="en-US" w:eastAsia="zh-CN"/>
              </w:rPr>
              <w:t xml:space="preserve"> reduction</w:t>
            </w:r>
          </w:p>
        </w:tc>
        <w:tc>
          <w:tcPr>
            <w:tcW w:w="0" w:type="auto"/>
          </w:tcPr>
          <w:p w14:paraId="3BA1BDE1" w14:textId="3BECE96F" w:rsidR="00B3766E" w:rsidRPr="003264CE" w:rsidRDefault="00D64523"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7.9</w:t>
            </w:r>
          </w:p>
        </w:tc>
      </w:tr>
      <w:tr w:rsidR="00B3766E" w:rsidRPr="002A53BD" w14:paraId="3C396F3D" w14:textId="77777777" w:rsidTr="00D64523">
        <w:trPr>
          <w:trHeight w:val="128"/>
        </w:trPr>
        <w:tc>
          <w:tcPr>
            <w:cnfStyle w:val="001000000000" w:firstRow="0" w:lastRow="0" w:firstColumn="1" w:lastColumn="0" w:oddVBand="0" w:evenVBand="0" w:oddHBand="0" w:evenHBand="0" w:firstRowFirstColumn="0" w:firstRowLastColumn="0" w:lastRowFirstColumn="0" w:lastRowLastColumn="0"/>
            <w:tcW w:w="0" w:type="auto"/>
          </w:tcPr>
          <w:p w14:paraId="23B1E0C5" w14:textId="587281A3" w:rsidR="00B3766E" w:rsidRDefault="00B3766E" w:rsidP="00D64523">
            <w:pPr>
              <w:spacing w:before="0" w:after="0" w:line="240" w:lineRule="auto"/>
              <w:rPr>
                <w:rFonts w:cs="Arial"/>
                <w:sz w:val="22"/>
                <w:szCs w:val="22"/>
                <w:lang w:val="en-US" w:eastAsia="zh-CN"/>
              </w:rPr>
            </w:pPr>
            <w:r>
              <w:rPr>
                <w:rFonts w:cs="Arial"/>
                <w:sz w:val="22"/>
                <w:szCs w:val="22"/>
                <w:lang w:val="en-US" w:eastAsia="zh-CN"/>
              </w:rPr>
              <w:t>Required % reduction</w:t>
            </w:r>
          </w:p>
        </w:tc>
        <w:tc>
          <w:tcPr>
            <w:tcW w:w="0" w:type="auto"/>
          </w:tcPr>
          <w:p w14:paraId="7A08BCA1" w14:textId="51449CFE" w:rsidR="00B3766E" w:rsidRPr="003264CE" w:rsidRDefault="00D64523" w:rsidP="00D64523">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13.5%</w:t>
            </w:r>
          </w:p>
        </w:tc>
      </w:tr>
    </w:tbl>
    <w:p w14:paraId="5F144854" w14:textId="4585F1D6" w:rsidR="00357D0F" w:rsidRDefault="00357D0F" w:rsidP="00DF643F">
      <w:pPr>
        <w:pStyle w:val="Heading3"/>
        <w:ind w:left="567"/>
      </w:pPr>
      <w:bookmarkStart w:id="83" w:name="_Toc222131871"/>
      <w:r>
        <w:lastRenderedPageBreak/>
        <w:t>Future Baselining</w:t>
      </w:r>
      <w:bookmarkEnd w:id="83"/>
    </w:p>
    <w:p w14:paraId="265155FC" w14:textId="088AEAB2" w:rsidR="00A74CA0" w:rsidRDefault="00A74CA0" w:rsidP="00357D0F">
      <w:r>
        <w:t>Potential future emissions at</w:t>
      </w:r>
      <w:r w:rsidR="00596BD2">
        <w:t xml:space="preserve"> Market Street</w:t>
      </w:r>
      <w:r>
        <w:t xml:space="preserve"> have been identified across the duration of the Air Quality Action Plan</w:t>
      </w:r>
      <w:r w:rsidR="00596BD2">
        <w:t>.</w:t>
      </w:r>
    </w:p>
    <w:p w14:paraId="057BAEF9" w14:textId="11FC9EFF" w:rsidR="005B13FE" w:rsidRDefault="00596BD2" w:rsidP="0046508E">
      <w:r>
        <w:t>A</w:t>
      </w:r>
      <w:r w:rsidR="00D909DC">
        <w:t xml:space="preserve"> projection of annual </w:t>
      </w:r>
      <w:r w:rsidR="00D909DC" w:rsidRPr="00B017B4">
        <w:t xml:space="preserve">mean </w:t>
      </w:r>
      <w:r w:rsidR="00D909DC" w:rsidRPr="00B017B4">
        <w:rPr>
          <w:rFonts w:eastAsia="Arial" w:cs="Arial"/>
          <w:kern w:val="18"/>
          <w:lang w:val="en-IE"/>
        </w:rPr>
        <w:t>NO</w:t>
      </w:r>
      <w:r w:rsidR="00D909DC" w:rsidRPr="00B017B4">
        <w:rPr>
          <w:rFonts w:eastAsia="Arial" w:cs="Arial"/>
          <w:kern w:val="18"/>
          <w:vertAlign w:val="subscript"/>
          <w:lang w:val="en-IE"/>
        </w:rPr>
        <w:t>2</w:t>
      </w:r>
      <w:r w:rsidR="00D909DC" w:rsidRPr="00B017B4">
        <w:t xml:space="preserve"> concentrations</w:t>
      </w:r>
      <w:r w:rsidR="00D909DC">
        <w:t xml:space="preserve"> up to 2030 was undertaken at </w:t>
      </w:r>
      <w:r w:rsidR="00A31AB7">
        <w:t>Market Street</w:t>
      </w:r>
      <w:r w:rsidR="00D909DC">
        <w:t xml:space="preserve">, using the </w:t>
      </w:r>
      <w:r w:rsidR="009B33B5">
        <w:t>EFT</w:t>
      </w:r>
      <w:r w:rsidR="00D909DC">
        <w:t>, to show the possible decrease in concentrations</w:t>
      </w:r>
      <w:r w:rsidR="00B017B4">
        <w:t xml:space="preserve"> with the 2024 ANPR</w:t>
      </w:r>
      <w:r w:rsidR="00246718">
        <w:t xml:space="preserve"> traffic data. </w:t>
      </w:r>
    </w:p>
    <w:p w14:paraId="447233A8" w14:textId="157AB4B2" w:rsidR="00833852" w:rsidRPr="007B334A" w:rsidRDefault="00833852" w:rsidP="00D04771">
      <w:r w:rsidRPr="00D04771">
        <w:rPr>
          <w:b/>
          <w:bCs/>
          <w:color w:val="006726"/>
        </w:rPr>
        <w:t xml:space="preserve">Traffic Growth using TEMPro </w:t>
      </w:r>
    </w:p>
    <w:p w14:paraId="7357C9C1" w14:textId="1760F578" w:rsidR="00A85C14" w:rsidRDefault="00A85C14" w:rsidP="00A85C14">
      <w:r>
        <w:t>TEMPro (Trip End Model Presentation Program) is software supplied by the Department of Transport which is used to view the NTEM (National Trip End Model) data set which provides forecasts of growth in vehicle journeys</w:t>
      </w:r>
      <w:r>
        <w:rPr>
          <w:rStyle w:val="FootnoteReference"/>
        </w:rPr>
        <w:footnoteReference w:id="12"/>
      </w:r>
      <w:r>
        <w:t xml:space="preserve">. NTEM data can be downloaded for a range of geographical scales from the whole country down to individual </w:t>
      </w:r>
      <w:r w:rsidR="009D1331">
        <w:t>lower layer super output areas (</w:t>
      </w:r>
      <w:r>
        <w:t>LSOAs</w:t>
      </w:r>
      <w:r w:rsidR="009D1331">
        <w:t>)</w:t>
      </w:r>
      <w:r>
        <w:t xml:space="preserve">, for 2011 to 2051 and multiple vehicle types. For this assessment, v8.0 core scenario data for Newcastle upon Tyne from 2024 to 2030 for car journeys on A Roads were used to calculate Adjusted Local Growth Factors for each future year based on a base year of 2024. The Local Growth Factors are shown in </w:t>
      </w:r>
      <w:r w:rsidRPr="00A85C14">
        <w:fldChar w:fldCharType="begin"/>
      </w:r>
      <w:r w:rsidRPr="00A85C14">
        <w:instrText xml:space="preserve"> REF _Ref204855408 \h  \* MERGEFORMAT </w:instrText>
      </w:r>
      <w:r w:rsidRPr="00A85C14">
        <w:fldChar w:fldCharType="separate"/>
      </w:r>
      <w:r w:rsidR="00664F03" w:rsidRPr="00DF643F">
        <w:t xml:space="preserve">Table </w:t>
      </w:r>
      <w:r w:rsidR="00664F03" w:rsidRPr="00DF643F">
        <w:rPr>
          <w:noProof/>
        </w:rPr>
        <w:t>3.3</w:t>
      </w:r>
      <w:r w:rsidRPr="00A85C14">
        <w:fldChar w:fldCharType="end"/>
      </w:r>
      <w:r>
        <w:t xml:space="preserve"> alongside the two-direction traffic flow following the application of the relevant factor. A limitation of this methodology is that the TEMPro Growth Factors are only based on car journeys, however, these factors have been applied to the total traffic flow. It is noted that these factors do not consider the effects of any specific future schemes. </w:t>
      </w:r>
    </w:p>
    <w:p w14:paraId="36A71F20" w14:textId="7DB5C07A" w:rsidR="00A85C14" w:rsidRDefault="00A85C14" w:rsidP="00A85C14">
      <w:pPr>
        <w:rPr>
          <w:b/>
          <w:bCs/>
          <w:color w:val="006726"/>
        </w:rPr>
      </w:pPr>
      <w:bookmarkStart w:id="84" w:name="_Ref204855408"/>
      <w:bookmarkStart w:id="85" w:name="_Toc222131900"/>
      <w:bookmarkStart w:id="86" w:name="_Hlk204936483"/>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664F03">
        <w:rPr>
          <w:b/>
          <w:bCs/>
          <w:noProof/>
          <w:color w:val="006726"/>
        </w:rPr>
        <w:t>3</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664F03">
        <w:rPr>
          <w:b/>
          <w:bCs/>
          <w:noProof/>
          <w:color w:val="006726"/>
        </w:rPr>
        <w:t>3</w:t>
      </w:r>
      <w:r w:rsidRPr="00A85C14">
        <w:rPr>
          <w:b/>
          <w:bCs/>
          <w:color w:val="006726"/>
        </w:rPr>
        <w:fldChar w:fldCharType="end"/>
      </w:r>
      <w:bookmarkEnd w:id="84"/>
      <w:r w:rsidRPr="00A85C14">
        <w:rPr>
          <w:b/>
          <w:bCs/>
          <w:color w:val="006726"/>
        </w:rPr>
        <w:t xml:space="preserve"> – </w:t>
      </w:r>
      <w:r>
        <w:rPr>
          <w:b/>
          <w:bCs/>
          <w:color w:val="006726"/>
        </w:rPr>
        <w:t>Local Traffic Growth Factors from TEMPro</w:t>
      </w:r>
      <w:bookmarkEnd w:id="85"/>
    </w:p>
    <w:tbl>
      <w:tblPr>
        <w:tblStyle w:val="LAQMReporting"/>
        <w:tblW w:w="5000" w:type="pct"/>
        <w:tblLook w:val="04A0" w:firstRow="1" w:lastRow="0" w:firstColumn="1" w:lastColumn="0" w:noHBand="0" w:noVBand="1"/>
      </w:tblPr>
      <w:tblGrid>
        <w:gridCol w:w="2788"/>
        <w:gridCol w:w="3137"/>
        <w:gridCol w:w="3135"/>
      </w:tblGrid>
      <w:tr w:rsidR="003A2215" w14:paraId="036A27FF" w14:textId="23D4FE61" w:rsidTr="003A2215">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539" w:type="pct"/>
          </w:tcPr>
          <w:bookmarkEnd w:id="86"/>
          <w:p w14:paraId="65CE989C" w14:textId="77777777" w:rsidR="003A2215" w:rsidRDefault="003A2215" w:rsidP="008B24AB">
            <w:r>
              <w:t>Year</w:t>
            </w:r>
          </w:p>
        </w:tc>
        <w:tc>
          <w:tcPr>
            <w:tcW w:w="1731" w:type="pct"/>
          </w:tcPr>
          <w:p w14:paraId="41C18BB0" w14:textId="19011123" w:rsidR="003A2215" w:rsidRDefault="003A2215" w:rsidP="008B24AB">
            <w:pPr>
              <w:cnfStyle w:val="100000000000" w:firstRow="1" w:lastRow="0" w:firstColumn="0" w:lastColumn="0" w:oddVBand="0" w:evenVBand="0" w:oddHBand="0" w:evenHBand="0" w:firstRowFirstColumn="0" w:firstRowLastColumn="0" w:lastRowFirstColumn="0" w:lastRowLastColumn="0"/>
            </w:pPr>
            <w:r>
              <w:t>Local Growth Factor</w:t>
            </w:r>
            <w:r w:rsidR="00CC328C">
              <w:t xml:space="preserve"> Year-to-Year</w:t>
            </w:r>
          </w:p>
        </w:tc>
        <w:tc>
          <w:tcPr>
            <w:tcW w:w="1730" w:type="pct"/>
          </w:tcPr>
          <w:p w14:paraId="3918B1CF" w14:textId="4A830B67" w:rsidR="003A2215" w:rsidRDefault="003A2215" w:rsidP="008B24AB">
            <w:pPr>
              <w:cnfStyle w:val="100000000000" w:firstRow="1" w:lastRow="0" w:firstColumn="0" w:lastColumn="0" w:oddVBand="0" w:evenVBand="0" w:oddHBand="0" w:evenHBand="0" w:firstRowFirstColumn="0" w:firstRowLastColumn="0" w:lastRowFirstColumn="0" w:lastRowLastColumn="0"/>
            </w:pPr>
            <w:r>
              <w:t>Two direction traffic flow on Market Street</w:t>
            </w:r>
          </w:p>
        </w:tc>
      </w:tr>
      <w:tr w:rsidR="003A2215" w14:paraId="06D2A5FB" w14:textId="025A74D4"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7F4D7B40" w14:textId="77777777" w:rsidR="003A2215" w:rsidRDefault="003A2215" w:rsidP="008B24AB">
            <w:r>
              <w:t>2024</w:t>
            </w:r>
          </w:p>
        </w:tc>
        <w:tc>
          <w:tcPr>
            <w:tcW w:w="1731" w:type="pct"/>
          </w:tcPr>
          <w:p w14:paraId="5A7E5583" w14:textId="0D0FD79D" w:rsidR="003A2215" w:rsidRDefault="003A2215" w:rsidP="008B24AB">
            <w:pPr>
              <w:cnfStyle w:val="000000000000" w:firstRow="0" w:lastRow="0" w:firstColumn="0" w:lastColumn="0" w:oddVBand="0" w:evenVBand="0" w:oddHBand="0" w:evenHBand="0" w:firstRowFirstColumn="0" w:firstRowLastColumn="0" w:lastRowFirstColumn="0" w:lastRowLastColumn="0"/>
            </w:pPr>
            <w:r>
              <w:t>-</w:t>
            </w:r>
          </w:p>
        </w:tc>
        <w:tc>
          <w:tcPr>
            <w:tcW w:w="1730" w:type="pct"/>
          </w:tcPr>
          <w:p w14:paraId="3BA367D2" w14:textId="63FC5C4D" w:rsidR="003A2215" w:rsidRPr="007A5A24" w:rsidRDefault="002A7EA0" w:rsidP="008B24AB">
            <w:pPr>
              <w:cnfStyle w:val="000000000000" w:firstRow="0" w:lastRow="0" w:firstColumn="0" w:lastColumn="0" w:oddVBand="0" w:evenVBand="0" w:oddHBand="0" w:evenHBand="0" w:firstRowFirstColumn="0" w:firstRowLastColumn="0" w:lastRowFirstColumn="0" w:lastRowLastColumn="0"/>
              <w:rPr>
                <w:vertAlign w:val="superscript"/>
              </w:rPr>
            </w:pPr>
            <w:r>
              <w:t>2,928</w:t>
            </w:r>
            <w:r w:rsidR="003A2215">
              <w:t>*</w:t>
            </w:r>
          </w:p>
        </w:tc>
      </w:tr>
      <w:tr w:rsidR="003A2215" w14:paraId="48F508B2" w14:textId="41027C79"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5A36349F" w14:textId="77777777" w:rsidR="003A2215" w:rsidRDefault="003A2215" w:rsidP="008B24AB">
            <w:r>
              <w:t>2025</w:t>
            </w:r>
          </w:p>
        </w:tc>
        <w:tc>
          <w:tcPr>
            <w:tcW w:w="1731" w:type="pct"/>
          </w:tcPr>
          <w:p w14:paraId="6C8D9891" w14:textId="6D5689F5"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1.0062</w:t>
            </w:r>
          </w:p>
        </w:tc>
        <w:tc>
          <w:tcPr>
            <w:tcW w:w="1730" w:type="pct"/>
          </w:tcPr>
          <w:p w14:paraId="0F22E698" w14:textId="5921A435" w:rsidR="003A2215" w:rsidRDefault="002A7EA0" w:rsidP="007A5A24">
            <w:pPr>
              <w:cnfStyle w:val="000000000000" w:firstRow="0" w:lastRow="0" w:firstColumn="0" w:lastColumn="0" w:oddVBand="0" w:evenVBand="0" w:oddHBand="0" w:evenHBand="0" w:firstRowFirstColumn="0" w:firstRowLastColumn="0" w:lastRowFirstColumn="0" w:lastRowLastColumn="0"/>
            </w:pPr>
            <w:r>
              <w:t>2,946</w:t>
            </w:r>
          </w:p>
        </w:tc>
      </w:tr>
      <w:tr w:rsidR="003A2215" w14:paraId="6622E5F6" w14:textId="73DA6705"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7B5B6655" w14:textId="77777777" w:rsidR="003A2215" w:rsidRDefault="003A2215" w:rsidP="008B24AB">
            <w:r>
              <w:lastRenderedPageBreak/>
              <w:t>2026</w:t>
            </w:r>
          </w:p>
        </w:tc>
        <w:tc>
          <w:tcPr>
            <w:tcW w:w="1731" w:type="pct"/>
          </w:tcPr>
          <w:p w14:paraId="7C71CAA1" w14:textId="60CDE06F"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1.0177</w:t>
            </w:r>
          </w:p>
        </w:tc>
        <w:tc>
          <w:tcPr>
            <w:tcW w:w="1730" w:type="pct"/>
          </w:tcPr>
          <w:p w14:paraId="34777727" w14:textId="0A3246EB" w:rsidR="003A2215" w:rsidRDefault="002A7EA0" w:rsidP="007A5A24">
            <w:pPr>
              <w:cnfStyle w:val="000000000000" w:firstRow="0" w:lastRow="0" w:firstColumn="0" w:lastColumn="0" w:oddVBand="0" w:evenVBand="0" w:oddHBand="0" w:evenHBand="0" w:firstRowFirstColumn="0" w:firstRowLastColumn="0" w:lastRowFirstColumn="0" w:lastRowLastColumn="0"/>
            </w:pPr>
            <w:r>
              <w:t>2,980</w:t>
            </w:r>
          </w:p>
        </w:tc>
      </w:tr>
      <w:tr w:rsidR="003A2215" w14:paraId="726486A4" w14:textId="04718ED4"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63DD038E" w14:textId="77777777" w:rsidR="003A2215" w:rsidRDefault="003A2215" w:rsidP="008B24AB">
            <w:r>
              <w:t>2027</w:t>
            </w:r>
          </w:p>
        </w:tc>
        <w:tc>
          <w:tcPr>
            <w:tcW w:w="1731" w:type="pct"/>
          </w:tcPr>
          <w:p w14:paraId="30DE3BB9" w14:textId="70B21A5C"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1.0282</w:t>
            </w:r>
          </w:p>
        </w:tc>
        <w:tc>
          <w:tcPr>
            <w:tcW w:w="1730" w:type="pct"/>
          </w:tcPr>
          <w:p w14:paraId="58A5F994" w14:textId="5A933627" w:rsidR="003A2215" w:rsidRDefault="002A7EA0" w:rsidP="007A5A24">
            <w:pPr>
              <w:cnfStyle w:val="000000000000" w:firstRow="0" w:lastRow="0" w:firstColumn="0" w:lastColumn="0" w:oddVBand="0" w:evenVBand="0" w:oddHBand="0" w:evenHBand="0" w:firstRowFirstColumn="0" w:firstRowLastColumn="0" w:lastRowFirstColumn="0" w:lastRowLastColumn="0"/>
            </w:pPr>
            <w:r>
              <w:t>3,011</w:t>
            </w:r>
          </w:p>
        </w:tc>
      </w:tr>
      <w:tr w:rsidR="003A2215" w14:paraId="539121AF" w14:textId="5AD91524"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158E46A7" w14:textId="77777777" w:rsidR="003A2215" w:rsidRDefault="003A2215" w:rsidP="008B24AB">
            <w:r>
              <w:t>2028</w:t>
            </w:r>
          </w:p>
        </w:tc>
        <w:tc>
          <w:tcPr>
            <w:tcW w:w="1731" w:type="pct"/>
          </w:tcPr>
          <w:p w14:paraId="0E393EED" w14:textId="2B4D30AC"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1.0386</w:t>
            </w:r>
          </w:p>
        </w:tc>
        <w:tc>
          <w:tcPr>
            <w:tcW w:w="1730" w:type="pct"/>
          </w:tcPr>
          <w:p w14:paraId="452FBDCC" w14:textId="480981F0" w:rsidR="003A2215" w:rsidRDefault="002A7EA0" w:rsidP="007A5A24">
            <w:pPr>
              <w:cnfStyle w:val="000000000000" w:firstRow="0" w:lastRow="0" w:firstColumn="0" w:lastColumn="0" w:oddVBand="0" w:evenVBand="0" w:oddHBand="0" w:evenHBand="0" w:firstRowFirstColumn="0" w:firstRowLastColumn="0" w:lastRowFirstColumn="0" w:lastRowLastColumn="0"/>
            </w:pPr>
            <w:r>
              <w:t>3,041</w:t>
            </w:r>
          </w:p>
        </w:tc>
      </w:tr>
      <w:tr w:rsidR="003A2215" w14:paraId="7FE349D0" w14:textId="6AAC23E5"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01C629F8" w14:textId="77777777" w:rsidR="003A2215" w:rsidRDefault="003A2215" w:rsidP="008B24AB">
            <w:r>
              <w:t>2029</w:t>
            </w:r>
          </w:p>
        </w:tc>
        <w:tc>
          <w:tcPr>
            <w:tcW w:w="1731" w:type="pct"/>
          </w:tcPr>
          <w:p w14:paraId="2A44B815" w14:textId="5792251A"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1.0491</w:t>
            </w:r>
          </w:p>
        </w:tc>
        <w:tc>
          <w:tcPr>
            <w:tcW w:w="1730" w:type="pct"/>
          </w:tcPr>
          <w:p w14:paraId="2956BED2" w14:textId="6D8D8404" w:rsidR="003A2215" w:rsidRDefault="002A7EA0" w:rsidP="007A5A24">
            <w:pPr>
              <w:cnfStyle w:val="000000000000" w:firstRow="0" w:lastRow="0" w:firstColumn="0" w:lastColumn="0" w:oddVBand="0" w:evenVBand="0" w:oddHBand="0" w:evenHBand="0" w:firstRowFirstColumn="0" w:firstRowLastColumn="0" w:lastRowFirstColumn="0" w:lastRowLastColumn="0"/>
            </w:pPr>
            <w:r>
              <w:t>3,072</w:t>
            </w:r>
          </w:p>
        </w:tc>
      </w:tr>
      <w:tr w:rsidR="003A2215" w14:paraId="2A4A430E" w14:textId="70D5EFF6" w:rsidTr="003A2215">
        <w:trPr>
          <w:trHeight w:val="20"/>
        </w:trPr>
        <w:tc>
          <w:tcPr>
            <w:cnfStyle w:val="001000000000" w:firstRow="0" w:lastRow="0" w:firstColumn="1" w:lastColumn="0" w:oddVBand="0" w:evenVBand="0" w:oddHBand="0" w:evenHBand="0" w:firstRowFirstColumn="0" w:firstRowLastColumn="0" w:lastRowFirstColumn="0" w:lastRowLastColumn="0"/>
            <w:tcW w:w="1539" w:type="pct"/>
          </w:tcPr>
          <w:p w14:paraId="4D93B45C" w14:textId="77777777" w:rsidR="003A2215" w:rsidRDefault="003A2215" w:rsidP="008B24AB">
            <w:r>
              <w:t>2030</w:t>
            </w:r>
          </w:p>
        </w:tc>
        <w:tc>
          <w:tcPr>
            <w:tcW w:w="1731" w:type="pct"/>
          </w:tcPr>
          <w:p w14:paraId="367B1ABE" w14:textId="11CF967B" w:rsidR="003A2215" w:rsidRDefault="003A2215" w:rsidP="007A5A24">
            <w:pPr>
              <w:cnfStyle w:val="000000000000" w:firstRow="0" w:lastRow="0" w:firstColumn="0" w:lastColumn="0" w:oddVBand="0" w:evenVBand="0" w:oddHBand="0" w:evenHBand="0" w:firstRowFirstColumn="0" w:firstRowLastColumn="0" w:lastRowFirstColumn="0" w:lastRowLastColumn="0"/>
            </w:pPr>
            <w:r w:rsidRPr="007A5A24">
              <w:t>1.0595</w:t>
            </w:r>
          </w:p>
        </w:tc>
        <w:tc>
          <w:tcPr>
            <w:tcW w:w="1730" w:type="pct"/>
          </w:tcPr>
          <w:p w14:paraId="2BBDC563" w14:textId="4CD0689E" w:rsidR="003A2215" w:rsidRDefault="002A7EA0" w:rsidP="007A5A24">
            <w:pPr>
              <w:cnfStyle w:val="000000000000" w:firstRow="0" w:lastRow="0" w:firstColumn="0" w:lastColumn="0" w:oddVBand="0" w:evenVBand="0" w:oddHBand="0" w:evenHBand="0" w:firstRowFirstColumn="0" w:firstRowLastColumn="0" w:lastRowFirstColumn="0" w:lastRowLastColumn="0"/>
            </w:pPr>
            <w:r>
              <w:t>3,102</w:t>
            </w:r>
          </w:p>
        </w:tc>
      </w:tr>
      <w:tr w:rsidR="002A7EA0" w14:paraId="5199483F" w14:textId="77777777" w:rsidTr="002A7EA0">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3"/>
          </w:tcPr>
          <w:p w14:paraId="32325FFD" w14:textId="538F0291" w:rsidR="002A7EA0" w:rsidRPr="007A5A24" w:rsidRDefault="002A7EA0" w:rsidP="002A7EA0">
            <w:pPr>
              <w:jc w:val="left"/>
            </w:pPr>
            <w:r w:rsidRPr="002A7EA0">
              <w:rPr>
                <w:b/>
                <w:bCs/>
              </w:rPr>
              <w:t>Note</w:t>
            </w:r>
            <w:r>
              <w:t>: * 2024 ANPR data</w:t>
            </w:r>
          </w:p>
        </w:tc>
      </w:tr>
    </w:tbl>
    <w:p w14:paraId="677B6A7F" w14:textId="48261CE2" w:rsidR="00833852" w:rsidRPr="00D04771" w:rsidRDefault="00833852" w:rsidP="00D20B74">
      <w:pPr>
        <w:rPr>
          <w:b/>
          <w:bCs/>
          <w:color w:val="006726"/>
        </w:rPr>
      </w:pPr>
      <w:r w:rsidRPr="00D04771">
        <w:rPr>
          <w:b/>
          <w:bCs/>
          <w:color w:val="006726"/>
        </w:rPr>
        <w:t>Projected Emissions</w:t>
      </w:r>
    </w:p>
    <w:p w14:paraId="2983A7E3" w14:textId="72DEED5C" w:rsidR="00664F03" w:rsidRDefault="007A5A24" w:rsidP="005E36F0">
      <w:pPr>
        <w:rPr>
          <w:bCs/>
        </w:rPr>
      </w:pPr>
      <w:r>
        <w:rPr>
          <w:bCs/>
        </w:rPr>
        <w:t xml:space="preserve">The </w:t>
      </w:r>
      <w:r w:rsidR="009B33B5">
        <w:rPr>
          <w:bCs/>
        </w:rPr>
        <w:t>EFT</w:t>
      </w:r>
      <w:r>
        <w:rPr>
          <w:bCs/>
        </w:rPr>
        <w:t xml:space="preserve"> v13.1 was run for each year between 2025 and 2030 </w:t>
      </w:r>
      <w:r w:rsidR="00FE17F9">
        <w:rPr>
          <w:bCs/>
        </w:rPr>
        <w:t>using the in-built</w:t>
      </w:r>
      <w:r w:rsidR="005E36F0">
        <w:rPr>
          <w:bCs/>
        </w:rPr>
        <w:t xml:space="preserve"> fleet </w:t>
      </w:r>
      <w:r w:rsidR="00664F03">
        <w:rPr>
          <w:bCs/>
        </w:rPr>
        <w:t xml:space="preserve">projection </w:t>
      </w:r>
      <w:r w:rsidR="00FE17F9">
        <w:rPr>
          <w:bCs/>
        </w:rPr>
        <w:t>tool</w:t>
      </w:r>
      <w:r>
        <w:rPr>
          <w:bCs/>
        </w:rPr>
        <w:t xml:space="preserve">. </w:t>
      </w:r>
      <w:r w:rsidR="00FE17F9">
        <w:rPr>
          <w:bCs/>
        </w:rPr>
        <w:t>T</w:t>
      </w:r>
      <w:r>
        <w:rPr>
          <w:bCs/>
        </w:rPr>
        <w:t xml:space="preserve">he traffic data with bespoke </w:t>
      </w:r>
      <w:r w:rsidR="009D1331">
        <w:rPr>
          <w:bCs/>
        </w:rPr>
        <w:t>E</w:t>
      </w:r>
      <w:r>
        <w:rPr>
          <w:bCs/>
        </w:rPr>
        <w:t xml:space="preserve">uro fleet and fleet data from the ANPR study </w:t>
      </w:r>
      <w:r w:rsidR="00FE17F9">
        <w:rPr>
          <w:bCs/>
        </w:rPr>
        <w:t xml:space="preserve">was </w:t>
      </w:r>
      <w:r>
        <w:rPr>
          <w:bCs/>
        </w:rPr>
        <w:t>projected to the relevant year</w:t>
      </w:r>
      <w:r w:rsidR="00FE17F9">
        <w:rPr>
          <w:bCs/>
        </w:rPr>
        <w:t xml:space="preserve"> using</w:t>
      </w:r>
      <w:r>
        <w:rPr>
          <w:bCs/>
        </w:rPr>
        <w:t xml:space="preserve"> national expectations of fleet turnover (the removal of older vehicles and replacement with newer vehicles). </w:t>
      </w:r>
      <w:r w:rsidR="00FE17F9">
        <w:rPr>
          <w:bCs/>
        </w:rPr>
        <w:t xml:space="preserve">The national projections are considered appropriate for use as the national fleet was found to be similar to the local fleet by the ANPR study, </w:t>
      </w:r>
      <w:r w:rsidR="00FE17F9">
        <w:t>so it is a reasonable assumption that this will continue into the future</w:t>
      </w:r>
      <w:r w:rsidR="00FE17F9">
        <w:rPr>
          <w:bCs/>
        </w:rPr>
        <w:t>.</w:t>
      </w:r>
      <w:r w:rsidR="00664F03">
        <w:rPr>
          <w:bCs/>
        </w:rPr>
        <w:t xml:space="preserve"> It was necessary to simplify the ANPR-built fleet model of 2024 which was used for source apportionment. This was to ensure consistency with the fleet projection tool (which only considers Euro 6 as a whole, rather than by subclass). </w:t>
      </w:r>
    </w:p>
    <w:p w14:paraId="391D56FC" w14:textId="0527FE27" w:rsidR="00003064" w:rsidRDefault="00664F03" w:rsidP="005E36F0">
      <w:pPr>
        <w:rPr>
          <w:bCs/>
        </w:rPr>
      </w:pPr>
      <w:r>
        <w:rPr>
          <w:bCs/>
        </w:rPr>
        <w:t xml:space="preserve">It should be noted that the fleet projection tool just considers changes in the Euro classes; no shift in fleet composition (such as an increase in EVs) has been assumed. This can be considered a conservative approach as in reality some degree of increased electrification of the fleet is likely, however there are substantial uncertainties about the speed of uptake. </w:t>
      </w:r>
      <w:r w:rsidR="005E36F0">
        <w:rPr>
          <w:bCs/>
        </w:rPr>
        <w:t xml:space="preserve">The results are presented in </w:t>
      </w:r>
      <w:r w:rsidR="00375F7B" w:rsidRPr="00375F7B">
        <w:rPr>
          <w:bCs/>
        </w:rPr>
        <w:fldChar w:fldCharType="begin"/>
      </w:r>
      <w:r w:rsidR="00375F7B" w:rsidRPr="00375F7B">
        <w:rPr>
          <w:bCs/>
        </w:rPr>
        <w:instrText xml:space="preserve"> REF _Ref204856260 \h  \* MERGEFORMAT </w:instrText>
      </w:r>
      <w:r w:rsidR="00375F7B" w:rsidRPr="00375F7B">
        <w:rPr>
          <w:bCs/>
        </w:rPr>
      </w:r>
      <w:r w:rsidR="00375F7B" w:rsidRPr="00375F7B">
        <w:rPr>
          <w:bCs/>
        </w:rPr>
        <w:fldChar w:fldCharType="separate"/>
      </w:r>
      <w:r w:rsidRPr="00DF643F">
        <w:rPr>
          <w:bCs/>
        </w:rPr>
        <w:t xml:space="preserve">Table </w:t>
      </w:r>
      <w:r w:rsidRPr="00DF643F">
        <w:rPr>
          <w:bCs/>
          <w:noProof/>
        </w:rPr>
        <w:t>3.4</w:t>
      </w:r>
      <w:r w:rsidR="00375F7B" w:rsidRPr="00375F7B">
        <w:rPr>
          <w:bCs/>
        </w:rPr>
        <w:fldChar w:fldCharType="end"/>
      </w:r>
      <w:r w:rsidR="00375F7B" w:rsidRPr="00375F7B">
        <w:rPr>
          <w:bCs/>
        </w:rPr>
        <w:t>,</w:t>
      </w:r>
      <w:r w:rsidR="00375F7B">
        <w:rPr>
          <w:bCs/>
        </w:rPr>
        <w:t xml:space="preserve"> and shown in </w:t>
      </w:r>
      <w:r w:rsidR="00F66CC5">
        <w:rPr>
          <w:bCs/>
        </w:rPr>
        <w:fldChar w:fldCharType="begin"/>
      </w:r>
      <w:r w:rsidR="00F66CC5">
        <w:rPr>
          <w:bCs/>
        </w:rPr>
        <w:instrText xml:space="preserve"> REF _Ref222130411 \h </w:instrText>
      </w:r>
      <w:r w:rsidR="00F66CC5">
        <w:rPr>
          <w:bCs/>
        </w:rPr>
      </w:r>
      <w:r w:rsidR="00F66CC5">
        <w:rPr>
          <w:bCs/>
        </w:rPr>
        <w:fldChar w:fldCharType="separate"/>
      </w:r>
      <w:r w:rsidR="00F66CC5">
        <w:t xml:space="preserve">Figure </w:t>
      </w:r>
      <w:r w:rsidR="00F66CC5">
        <w:rPr>
          <w:noProof/>
        </w:rPr>
        <w:t>3</w:t>
      </w:r>
      <w:r w:rsidR="00F66CC5">
        <w:t>.</w:t>
      </w:r>
      <w:r w:rsidR="00F66CC5">
        <w:rPr>
          <w:noProof/>
        </w:rPr>
        <w:t>13</w:t>
      </w:r>
      <w:r w:rsidR="00F66CC5">
        <w:rPr>
          <w:bCs/>
        </w:rPr>
        <w:fldChar w:fldCharType="end"/>
      </w:r>
      <w:r w:rsidR="005E36F0">
        <w:rPr>
          <w:bCs/>
        </w:rPr>
        <w:t xml:space="preserve">. </w:t>
      </w:r>
    </w:p>
    <w:p w14:paraId="59192C8E" w14:textId="78D86E39" w:rsidR="007A5A24" w:rsidRDefault="007A5A24" w:rsidP="007A5A24">
      <w:pPr>
        <w:rPr>
          <w:b/>
          <w:bCs/>
          <w:color w:val="006726"/>
        </w:rPr>
      </w:pPr>
      <w:bookmarkStart w:id="87" w:name="_Ref204856260"/>
      <w:bookmarkStart w:id="88" w:name="_Toc222131901"/>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664F03">
        <w:rPr>
          <w:b/>
          <w:bCs/>
          <w:noProof/>
          <w:color w:val="006726"/>
        </w:rPr>
        <w:t>3</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664F03">
        <w:rPr>
          <w:b/>
          <w:bCs/>
          <w:noProof/>
          <w:color w:val="006726"/>
        </w:rPr>
        <w:t>4</w:t>
      </w:r>
      <w:r w:rsidRPr="00A85C14">
        <w:rPr>
          <w:b/>
          <w:bCs/>
          <w:color w:val="006726"/>
        </w:rPr>
        <w:fldChar w:fldCharType="end"/>
      </w:r>
      <w:bookmarkEnd w:id="87"/>
      <w:r w:rsidRPr="00A85C14">
        <w:rPr>
          <w:b/>
          <w:bCs/>
          <w:color w:val="006726"/>
        </w:rPr>
        <w:t xml:space="preserve"> – </w:t>
      </w:r>
      <w:r w:rsidR="00FE17F9">
        <w:rPr>
          <w:b/>
          <w:bCs/>
          <w:color w:val="006726"/>
        </w:rPr>
        <w:t xml:space="preserve">Projected </w:t>
      </w:r>
      <w:r w:rsidR="00375F7B">
        <w:rPr>
          <w:b/>
          <w:bCs/>
          <w:color w:val="006726"/>
        </w:rPr>
        <w:t>NO</w:t>
      </w:r>
      <w:r w:rsidR="00375F7B" w:rsidRPr="00375F7B">
        <w:rPr>
          <w:b/>
          <w:bCs/>
          <w:color w:val="006726"/>
          <w:vertAlign w:val="subscript"/>
        </w:rPr>
        <w:t>x</w:t>
      </w:r>
      <w:r w:rsidR="00375F7B">
        <w:rPr>
          <w:b/>
          <w:bCs/>
          <w:color w:val="006726"/>
        </w:rPr>
        <w:t xml:space="preserve"> Emissions for </w:t>
      </w:r>
      <w:r w:rsidR="005E36F0">
        <w:rPr>
          <w:b/>
          <w:bCs/>
          <w:color w:val="006726"/>
        </w:rPr>
        <w:t>Market Street</w:t>
      </w:r>
      <w:bookmarkEnd w:id="88"/>
    </w:p>
    <w:tbl>
      <w:tblPr>
        <w:tblStyle w:val="LAQMReporting"/>
        <w:tblW w:w="5000" w:type="pct"/>
        <w:tblLook w:val="04A0" w:firstRow="1" w:lastRow="0" w:firstColumn="1" w:lastColumn="0" w:noHBand="0" w:noVBand="1"/>
      </w:tblPr>
      <w:tblGrid>
        <w:gridCol w:w="4383"/>
        <w:gridCol w:w="4677"/>
      </w:tblGrid>
      <w:tr w:rsidR="00FE17F9" w14:paraId="67C79F5F" w14:textId="77777777" w:rsidTr="00FE17F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2419" w:type="pct"/>
          </w:tcPr>
          <w:p w14:paraId="2F7FBD9A" w14:textId="77777777" w:rsidR="00FE17F9" w:rsidRDefault="00FE17F9" w:rsidP="008B24AB">
            <w:r>
              <w:t>Year</w:t>
            </w:r>
          </w:p>
        </w:tc>
        <w:tc>
          <w:tcPr>
            <w:tcW w:w="2581" w:type="pct"/>
          </w:tcPr>
          <w:p w14:paraId="3AE60DEC" w14:textId="7650DBD2" w:rsidR="00FE17F9" w:rsidRDefault="00FE17F9" w:rsidP="008B24AB">
            <w:pPr>
              <w:cnfStyle w:val="100000000000" w:firstRow="1" w:lastRow="0" w:firstColumn="0" w:lastColumn="0" w:oddVBand="0" w:evenVBand="0" w:oddHBand="0" w:evenHBand="0" w:firstRowFirstColumn="0" w:firstRowLastColumn="0" w:lastRowFirstColumn="0" w:lastRowLastColumn="0"/>
              <w:rPr>
                <w:b w:val="0"/>
              </w:rPr>
            </w:pPr>
            <w:r>
              <w:t>NO</w:t>
            </w:r>
            <w:r w:rsidRPr="006B7C4C">
              <w:rPr>
                <w:vertAlign w:val="subscript"/>
              </w:rPr>
              <w:t>X</w:t>
            </w:r>
            <w:r>
              <w:t xml:space="preserve"> emissions from EFT (g/km/s)</w:t>
            </w:r>
          </w:p>
        </w:tc>
      </w:tr>
      <w:tr w:rsidR="005E36F0" w14:paraId="680499BB"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2EFC8170" w14:textId="77777777" w:rsidR="005E36F0" w:rsidRDefault="005E36F0" w:rsidP="008B24AB">
            <w:r>
              <w:t>2024</w:t>
            </w:r>
          </w:p>
        </w:tc>
        <w:tc>
          <w:tcPr>
            <w:tcW w:w="2581" w:type="pct"/>
          </w:tcPr>
          <w:p w14:paraId="2C68BC48" w14:textId="22096D94" w:rsidR="003B0E92" w:rsidRDefault="003B0E92" w:rsidP="003B0E92">
            <w:pPr>
              <w:cnfStyle w:val="000000000000" w:firstRow="0" w:lastRow="0" w:firstColumn="0" w:lastColumn="0" w:oddVBand="0" w:evenVBand="0" w:oddHBand="0" w:evenHBand="0" w:firstRowFirstColumn="0" w:firstRowLastColumn="0" w:lastRowFirstColumn="0" w:lastRowLastColumn="0"/>
            </w:pPr>
            <w:r w:rsidRPr="003B0E92">
              <w:t>0.0466</w:t>
            </w:r>
            <w:r>
              <w:t>4</w:t>
            </w:r>
          </w:p>
        </w:tc>
      </w:tr>
      <w:tr w:rsidR="005E36F0" w14:paraId="00D5812E"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138A9C56" w14:textId="77777777" w:rsidR="005E36F0" w:rsidRDefault="005E36F0" w:rsidP="00375F7B">
            <w:r>
              <w:t>2025</w:t>
            </w:r>
          </w:p>
        </w:tc>
        <w:tc>
          <w:tcPr>
            <w:tcW w:w="2581" w:type="pct"/>
            <w:vAlign w:val="top"/>
          </w:tcPr>
          <w:p w14:paraId="479C5D51" w14:textId="030AB8E7"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0.04349</w:t>
            </w:r>
          </w:p>
        </w:tc>
      </w:tr>
      <w:tr w:rsidR="005E36F0" w14:paraId="319DB2A8"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19C976EA" w14:textId="77777777" w:rsidR="005E36F0" w:rsidRDefault="005E36F0" w:rsidP="00375F7B">
            <w:r>
              <w:lastRenderedPageBreak/>
              <w:t>2026</w:t>
            </w:r>
          </w:p>
        </w:tc>
        <w:tc>
          <w:tcPr>
            <w:tcW w:w="2581" w:type="pct"/>
            <w:vAlign w:val="top"/>
          </w:tcPr>
          <w:p w14:paraId="60E3A122" w14:textId="78A7067B"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0.04087</w:t>
            </w:r>
          </w:p>
        </w:tc>
      </w:tr>
      <w:tr w:rsidR="005E36F0" w14:paraId="3D3C3BAB"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09DB9779" w14:textId="77777777" w:rsidR="005E36F0" w:rsidRDefault="005E36F0" w:rsidP="00375F7B">
            <w:r>
              <w:t>2027</w:t>
            </w:r>
          </w:p>
        </w:tc>
        <w:tc>
          <w:tcPr>
            <w:tcW w:w="2581" w:type="pct"/>
            <w:vAlign w:val="top"/>
          </w:tcPr>
          <w:p w14:paraId="484EB886" w14:textId="1AF3297F"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0.03859</w:t>
            </w:r>
          </w:p>
        </w:tc>
      </w:tr>
      <w:tr w:rsidR="005E36F0" w14:paraId="5B2D5466"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4AC9DE2C" w14:textId="77777777" w:rsidR="005E36F0" w:rsidRDefault="005E36F0" w:rsidP="00375F7B">
            <w:r>
              <w:t>2028</w:t>
            </w:r>
          </w:p>
        </w:tc>
        <w:tc>
          <w:tcPr>
            <w:tcW w:w="2581" w:type="pct"/>
            <w:vAlign w:val="top"/>
          </w:tcPr>
          <w:p w14:paraId="3D5D09AA" w14:textId="2486287F"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0.03629</w:t>
            </w:r>
          </w:p>
        </w:tc>
      </w:tr>
      <w:tr w:rsidR="005E36F0" w14:paraId="58BC8A39"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750BA637" w14:textId="77777777" w:rsidR="005E36F0" w:rsidRDefault="005E36F0" w:rsidP="00375F7B">
            <w:r>
              <w:t>2029</w:t>
            </w:r>
          </w:p>
        </w:tc>
        <w:tc>
          <w:tcPr>
            <w:tcW w:w="2581" w:type="pct"/>
            <w:vAlign w:val="top"/>
          </w:tcPr>
          <w:p w14:paraId="5AF49207" w14:textId="143AC0B9"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0.03478</w:t>
            </w:r>
          </w:p>
        </w:tc>
      </w:tr>
      <w:tr w:rsidR="005E36F0" w14:paraId="1CD34724" w14:textId="77777777" w:rsidTr="005E36F0">
        <w:trPr>
          <w:trHeight w:val="70"/>
        </w:trPr>
        <w:tc>
          <w:tcPr>
            <w:cnfStyle w:val="001000000000" w:firstRow="0" w:lastRow="0" w:firstColumn="1" w:lastColumn="0" w:oddVBand="0" w:evenVBand="0" w:oddHBand="0" w:evenHBand="0" w:firstRowFirstColumn="0" w:firstRowLastColumn="0" w:lastRowFirstColumn="0" w:lastRowLastColumn="0"/>
            <w:tcW w:w="2419" w:type="pct"/>
          </w:tcPr>
          <w:p w14:paraId="540F990D" w14:textId="77777777" w:rsidR="005E36F0" w:rsidRDefault="005E36F0" w:rsidP="00375F7B">
            <w:r>
              <w:t>2030</w:t>
            </w:r>
          </w:p>
        </w:tc>
        <w:tc>
          <w:tcPr>
            <w:tcW w:w="2581" w:type="pct"/>
            <w:vAlign w:val="top"/>
          </w:tcPr>
          <w:p w14:paraId="756F7A96" w14:textId="49B830CD" w:rsidR="005E36F0" w:rsidRDefault="005E36F0" w:rsidP="005E36F0">
            <w:pPr>
              <w:cnfStyle w:val="000000000000" w:firstRow="0" w:lastRow="0" w:firstColumn="0" w:lastColumn="0" w:oddVBand="0" w:evenVBand="0" w:oddHBand="0" w:evenHBand="0" w:firstRowFirstColumn="0" w:firstRowLastColumn="0" w:lastRowFirstColumn="0" w:lastRowLastColumn="0"/>
            </w:pPr>
            <w:r w:rsidRPr="005E36F0">
              <w:t>0.03334</w:t>
            </w:r>
          </w:p>
        </w:tc>
      </w:tr>
    </w:tbl>
    <w:p w14:paraId="431919D6" w14:textId="5EBD9DC1" w:rsidR="00375F7B" w:rsidRDefault="003B0E92" w:rsidP="00375F7B">
      <w:pPr>
        <w:rPr>
          <w:b/>
          <w:bCs/>
          <w:color w:val="006726"/>
        </w:rPr>
      </w:pPr>
      <w:r>
        <w:rPr>
          <w:noProof/>
        </w:rPr>
        <w:drawing>
          <wp:inline distT="0" distB="0" distL="0" distR="0" wp14:anchorId="02D2FABF" wp14:editId="5EBFC3F1">
            <wp:extent cx="5715000" cy="3133725"/>
            <wp:effectExtent l="0" t="0" r="0" b="9525"/>
            <wp:docPr id="1471091381" name="Chart 1">
              <a:extLst xmlns:a="http://schemas.openxmlformats.org/drawingml/2006/main">
                <a:ext uri="{FF2B5EF4-FFF2-40B4-BE49-F238E27FC236}">
                  <a16:creationId xmlns:a16="http://schemas.microsoft.com/office/drawing/2014/main" id="{24026591-07DA-F8AA-A6E4-1EBF5B869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66F126" w14:textId="19B6F1B2" w:rsidR="00F66CC5" w:rsidRDefault="00F66CC5" w:rsidP="00F66CC5">
      <w:pPr>
        <w:pStyle w:val="Caption"/>
        <w:rPr>
          <w:b w:val="0"/>
          <w:bCs w:val="0"/>
        </w:rPr>
      </w:pPr>
      <w:bookmarkStart w:id="89" w:name="_Ref222130411"/>
      <w:bookmarkStart w:id="90" w:name="_Toc222131930"/>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13</w:t>
      </w:r>
      <w:r>
        <w:fldChar w:fldCharType="end"/>
      </w:r>
      <w:bookmarkEnd w:id="89"/>
      <w:r>
        <w:t xml:space="preserve"> - Percentage change of emissions based on 2024 at Market Street</w:t>
      </w:r>
      <w:bookmarkEnd w:id="90"/>
    </w:p>
    <w:p w14:paraId="5C027B30" w14:textId="2B59F0E5" w:rsidR="00334F02" w:rsidRDefault="006E6D27" w:rsidP="00246718">
      <w:r>
        <w:t xml:space="preserve">The above table and figure show </w:t>
      </w:r>
      <w:r w:rsidR="00CC328C">
        <w:t xml:space="preserve">reductions in emissions are predicted from 2024; the emissions could reduce by approximately </w:t>
      </w:r>
      <w:r w:rsidR="003B0E92">
        <w:t>29</w:t>
      </w:r>
      <w:r w:rsidR="00CC328C">
        <w:t>% at Market Street by 2030</w:t>
      </w:r>
      <w:r w:rsidR="005754B4">
        <w:t xml:space="preserve"> compared to 2024</w:t>
      </w:r>
      <w:r w:rsidR="00CC328C">
        <w:t>.</w:t>
      </w:r>
      <w:r w:rsidR="00334F02">
        <w:t xml:space="preserve"> </w:t>
      </w:r>
    </w:p>
    <w:p w14:paraId="1FC55B03" w14:textId="0334C1CB" w:rsidR="005754B4" w:rsidRDefault="005754B4" w:rsidP="00246718">
      <w:r>
        <w:t>Translating the predicted reductions in NO</w:t>
      </w:r>
      <w:r w:rsidRPr="005754B4">
        <w:rPr>
          <w:vertAlign w:val="subscript"/>
        </w:rPr>
        <w:t>x</w:t>
      </w:r>
      <w:r>
        <w:t xml:space="preserve"> emissions to annual mean NO</w:t>
      </w:r>
      <w:r w:rsidRPr="005754B4">
        <w:rPr>
          <w:vertAlign w:val="subscript"/>
        </w:rPr>
        <w:t>2</w:t>
      </w:r>
      <w:r>
        <w:t xml:space="preserve"> concentrations shows that compliance is predicted to be achieved in 202</w:t>
      </w:r>
      <w:r w:rsidR="003B0E92">
        <w:t>6</w:t>
      </w:r>
      <w:r>
        <w:t xml:space="preserve"> at Market Street with a reduction of </w:t>
      </w:r>
      <w:r w:rsidR="003B0E92">
        <w:t>12.4</w:t>
      </w:r>
      <w:r>
        <w:t>% in NO</w:t>
      </w:r>
      <w:r w:rsidRPr="005754B4">
        <w:rPr>
          <w:vertAlign w:val="subscript"/>
        </w:rPr>
        <w:t>x</w:t>
      </w:r>
      <w:r>
        <w:t xml:space="preserve"> emissions</w:t>
      </w:r>
      <w:r w:rsidR="003B0E92">
        <w:t xml:space="preserve"> compared to 2024</w:t>
      </w:r>
      <w:r>
        <w:t xml:space="preserve"> which</w:t>
      </w:r>
      <w:r w:rsidR="00664F03">
        <w:t>, combined with predicted reductions in background concentrations, is sufficient to bring the predicted NO</w:t>
      </w:r>
      <w:r w:rsidR="00664F03" w:rsidRPr="00664F03">
        <w:rPr>
          <w:vertAlign w:val="subscript"/>
        </w:rPr>
        <w:t>2</w:t>
      </w:r>
      <w:r w:rsidR="00664F03">
        <w:t xml:space="preserve"> concentration below 36 </w:t>
      </w:r>
      <w:r w:rsidR="00664F03">
        <w:rPr>
          <w:rFonts w:cs="Arial"/>
        </w:rPr>
        <w:t>µ</w:t>
      </w:r>
      <w:r w:rsidR="00664F03">
        <w:t>g/m</w:t>
      </w:r>
      <w:r w:rsidR="00664F03" w:rsidRPr="00664F03">
        <w:rPr>
          <w:vertAlign w:val="superscript"/>
        </w:rPr>
        <w:t>3</w:t>
      </w:r>
      <w:r>
        <w:t xml:space="preserve">  as shown in </w:t>
      </w:r>
      <w:r w:rsidRPr="005754B4">
        <w:fldChar w:fldCharType="begin"/>
      </w:r>
      <w:r w:rsidRPr="005754B4">
        <w:instrText xml:space="preserve"> REF _Ref210048134 \h  \* MERGEFORMAT </w:instrText>
      </w:r>
      <w:r w:rsidRPr="005754B4">
        <w:fldChar w:fldCharType="separate"/>
      </w:r>
      <w:r w:rsidRPr="005754B4">
        <w:t xml:space="preserve">Table </w:t>
      </w:r>
      <w:r w:rsidRPr="005754B4">
        <w:rPr>
          <w:noProof/>
        </w:rPr>
        <w:t>3</w:t>
      </w:r>
      <w:r w:rsidRPr="005754B4">
        <w:t>.</w:t>
      </w:r>
      <w:r w:rsidRPr="005754B4">
        <w:rPr>
          <w:noProof/>
        </w:rPr>
        <w:t>5</w:t>
      </w:r>
      <w:r w:rsidRPr="005754B4">
        <w:fldChar w:fldCharType="end"/>
      </w:r>
      <w:r w:rsidRPr="005754B4">
        <w:t>.</w:t>
      </w:r>
    </w:p>
    <w:p w14:paraId="3852A84F" w14:textId="51EBCAEB" w:rsidR="005754B4" w:rsidRDefault="005754B4" w:rsidP="005754B4">
      <w:pPr>
        <w:rPr>
          <w:b/>
          <w:bCs/>
          <w:color w:val="006726"/>
        </w:rPr>
      </w:pPr>
      <w:bookmarkStart w:id="91" w:name="_Ref210048134"/>
      <w:bookmarkStart w:id="92" w:name="_Toc222131902"/>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664F03">
        <w:rPr>
          <w:b/>
          <w:bCs/>
          <w:noProof/>
          <w:color w:val="006726"/>
        </w:rPr>
        <w:t>3</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664F03">
        <w:rPr>
          <w:b/>
          <w:bCs/>
          <w:noProof/>
          <w:color w:val="006726"/>
        </w:rPr>
        <w:t>5</w:t>
      </w:r>
      <w:r w:rsidRPr="00A85C14">
        <w:rPr>
          <w:b/>
          <w:bCs/>
          <w:color w:val="006726"/>
        </w:rPr>
        <w:fldChar w:fldCharType="end"/>
      </w:r>
      <w:bookmarkEnd w:id="91"/>
      <w:r w:rsidRPr="00A85C14">
        <w:rPr>
          <w:b/>
          <w:bCs/>
          <w:color w:val="006726"/>
        </w:rPr>
        <w:t xml:space="preserve"> – </w:t>
      </w:r>
      <w:r>
        <w:rPr>
          <w:b/>
          <w:bCs/>
          <w:color w:val="006726"/>
        </w:rPr>
        <w:t>Predicted reduction</w:t>
      </w:r>
      <w:r w:rsidR="000634C5">
        <w:rPr>
          <w:b/>
          <w:bCs/>
          <w:color w:val="006726"/>
        </w:rPr>
        <w:t>s</w:t>
      </w:r>
      <w:r>
        <w:rPr>
          <w:b/>
          <w:bCs/>
          <w:color w:val="006726"/>
        </w:rPr>
        <w:t xml:space="preserve"> in annual mean NO</w:t>
      </w:r>
      <w:r w:rsidRPr="005754B4">
        <w:rPr>
          <w:b/>
          <w:bCs/>
          <w:color w:val="006726"/>
          <w:vertAlign w:val="subscript"/>
        </w:rPr>
        <w:t>2</w:t>
      </w:r>
      <w:r>
        <w:rPr>
          <w:b/>
          <w:bCs/>
          <w:color w:val="006726"/>
        </w:rPr>
        <w:t xml:space="preserve"> concentrations</w:t>
      </w:r>
      <w:r w:rsidR="000634C5">
        <w:rPr>
          <w:b/>
          <w:bCs/>
          <w:color w:val="006726"/>
        </w:rPr>
        <w:t xml:space="preserve"> at Market Street</w:t>
      </w:r>
      <w:bookmarkEnd w:id="92"/>
    </w:p>
    <w:tbl>
      <w:tblPr>
        <w:tblStyle w:val="LAQMReporting"/>
        <w:tblW w:w="0" w:type="auto"/>
        <w:tblLayout w:type="fixed"/>
        <w:tblLook w:val="04A0" w:firstRow="1" w:lastRow="0" w:firstColumn="1" w:lastColumn="0" w:noHBand="0" w:noVBand="1"/>
      </w:tblPr>
      <w:tblGrid>
        <w:gridCol w:w="1413"/>
        <w:gridCol w:w="960"/>
        <w:gridCol w:w="1192"/>
        <w:gridCol w:w="1099"/>
        <w:gridCol w:w="1099"/>
        <w:gridCol w:w="1099"/>
        <w:gridCol w:w="1099"/>
        <w:gridCol w:w="1099"/>
      </w:tblGrid>
      <w:tr w:rsidR="003B0E92" w14:paraId="6F1BEC2B" w14:textId="6B39CE0B" w:rsidTr="00DF643F">
        <w:trPr>
          <w:cnfStyle w:val="100000000000" w:firstRow="1" w:lastRow="0" w:firstColumn="0" w:lastColumn="0" w:oddVBand="0" w:evenVBand="0" w:oddHBand="0" w:evenHBand="0" w:firstRowFirstColumn="0" w:firstRowLastColumn="0" w:lastRowFirstColumn="0" w:lastRowLastColumn="0"/>
          <w:trHeight w:val="1318"/>
        </w:trPr>
        <w:tc>
          <w:tcPr>
            <w:cnfStyle w:val="001000000000" w:firstRow="0" w:lastRow="0" w:firstColumn="1" w:lastColumn="0" w:oddVBand="0" w:evenVBand="0" w:oddHBand="0" w:evenHBand="0" w:firstRowFirstColumn="0" w:firstRowLastColumn="0" w:lastRowFirstColumn="0" w:lastRowLastColumn="0"/>
            <w:tcW w:w="1413" w:type="dxa"/>
          </w:tcPr>
          <w:p w14:paraId="619F28B9" w14:textId="32BEB896" w:rsidR="000634C5" w:rsidRPr="00DF643F" w:rsidRDefault="000634C5" w:rsidP="0033261E">
            <w:pPr>
              <w:rPr>
                <w:sz w:val="20"/>
                <w:szCs w:val="20"/>
              </w:rPr>
            </w:pPr>
            <w:r w:rsidRPr="00DF643F">
              <w:rPr>
                <w:sz w:val="20"/>
                <w:szCs w:val="20"/>
              </w:rPr>
              <w:lastRenderedPageBreak/>
              <w:t>Metric</w:t>
            </w:r>
          </w:p>
        </w:tc>
        <w:tc>
          <w:tcPr>
            <w:tcW w:w="960" w:type="dxa"/>
          </w:tcPr>
          <w:p w14:paraId="31EA3B57" w14:textId="7CBECC1B"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2024</w:t>
            </w:r>
          </w:p>
        </w:tc>
        <w:tc>
          <w:tcPr>
            <w:tcW w:w="1192" w:type="dxa"/>
          </w:tcPr>
          <w:p w14:paraId="01F3554C" w14:textId="7C984DBB"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2025</w:t>
            </w:r>
          </w:p>
        </w:tc>
        <w:tc>
          <w:tcPr>
            <w:tcW w:w="1099" w:type="dxa"/>
          </w:tcPr>
          <w:p w14:paraId="79B3E06D" w14:textId="16697CA4"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2026</w:t>
            </w:r>
          </w:p>
        </w:tc>
        <w:tc>
          <w:tcPr>
            <w:tcW w:w="1099" w:type="dxa"/>
          </w:tcPr>
          <w:p w14:paraId="0B800E1B" w14:textId="467FD719"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2027</w:t>
            </w:r>
          </w:p>
        </w:tc>
        <w:tc>
          <w:tcPr>
            <w:tcW w:w="1099" w:type="dxa"/>
          </w:tcPr>
          <w:p w14:paraId="24E42162" w14:textId="23477D26"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2028</w:t>
            </w:r>
          </w:p>
        </w:tc>
        <w:tc>
          <w:tcPr>
            <w:tcW w:w="1099" w:type="dxa"/>
          </w:tcPr>
          <w:p w14:paraId="6741B7BA" w14:textId="240248B0"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2029</w:t>
            </w:r>
          </w:p>
        </w:tc>
        <w:tc>
          <w:tcPr>
            <w:tcW w:w="1099" w:type="dxa"/>
          </w:tcPr>
          <w:p w14:paraId="23A26712" w14:textId="109E950A" w:rsidR="000634C5" w:rsidRPr="00DF643F" w:rsidRDefault="000634C5" w:rsidP="0033261E">
            <w:pPr>
              <w:cnfStyle w:val="100000000000" w:firstRow="1" w:lastRow="0" w:firstColumn="0" w:lastColumn="0" w:oddVBand="0" w:evenVBand="0" w:oddHBand="0" w:evenHBand="0" w:firstRowFirstColumn="0" w:firstRowLastColumn="0" w:lastRowFirstColumn="0" w:lastRowLastColumn="0"/>
              <w:rPr>
                <w:sz w:val="20"/>
                <w:szCs w:val="20"/>
              </w:rPr>
            </w:pPr>
            <w:r w:rsidRPr="00DF643F">
              <w:rPr>
                <w:sz w:val="20"/>
                <w:szCs w:val="20"/>
              </w:rPr>
              <w:t>2030</w:t>
            </w:r>
          </w:p>
        </w:tc>
      </w:tr>
      <w:tr w:rsidR="003B0E92" w14:paraId="5545EB6C" w14:textId="2858E6BF" w:rsidTr="00DF643F">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1D402A3B" w14:textId="531E6CE6" w:rsidR="003B0E92" w:rsidRPr="00DF643F" w:rsidRDefault="003B0E92" w:rsidP="003B0E92">
            <w:pPr>
              <w:rPr>
                <w:sz w:val="20"/>
                <w:szCs w:val="20"/>
              </w:rPr>
            </w:pPr>
            <w:r w:rsidRPr="00DF643F">
              <w:rPr>
                <w:sz w:val="20"/>
                <w:szCs w:val="20"/>
              </w:rPr>
              <w:t>Total NO</w:t>
            </w:r>
            <w:r w:rsidRPr="00DF643F">
              <w:rPr>
                <w:sz w:val="20"/>
                <w:szCs w:val="20"/>
                <w:vertAlign w:val="subscript"/>
              </w:rPr>
              <w:t>2</w:t>
            </w:r>
            <w:r w:rsidRPr="00DF643F">
              <w:rPr>
                <w:sz w:val="20"/>
                <w:szCs w:val="20"/>
              </w:rPr>
              <w:t xml:space="preserve"> concentration</w:t>
            </w:r>
          </w:p>
        </w:tc>
        <w:tc>
          <w:tcPr>
            <w:tcW w:w="960" w:type="dxa"/>
          </w:tcPr>
          <w:p w14:paraId="41A0E689" w14:textId="22A23637"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38.5</w:t>
            </w:r>
          </w:p>
        </w:tc>
        <w:tc>
          <w:tcPr>
            <w:tcW w:w="1192" w:type="dxa"/>
          </w:tcPr>
          <w:p w14:paraId="54B8EC16" w14:textId="19FB45AA"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vertAlign w:val="superscript"/>
              </w:rPr>
            </w:pPr>
            <w:r w:rsidRPr="00DF643F">
              <w:rPr>
                <w:sz w:val="20"/>
                <w:szCs w:val="20"/>
              </w:rPr>
              <w:t>36.4</w:t>
            </w:r>
          </w:p>
        </w:tc>
        <w:tc>
          <w:tcPr>
            <w:tcW w:w="1099" w:type="dxa"/>
          </w:tcPr>
          <w:p w14:paraId="49B32F27" w14:textId="57AC5816"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34.7</w:t>
            </w:r>
          </w:p>
        </w:tc>
        <w:tc>
          <w:tcPr>
            <w:tcW w:w="1099" w:type="dxa"/>
          </w:tcPr>
          <w:p w14:paraId="6E31DCAB" w14:textId="09BC1FDC"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33.2</w:t>
            </w:r>
          </w:p>
        </w:tc>
        <w:tc>
          <w:tcPr>
            <w:tcW w:w="1099" w:type="dxa"/>
          </w:tcPr>
          <w:p w14:paraId="0C8DCA20" w14:textId="111EE290"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31.6</w:t>
            </w:r>
          </w:p>
        </w:tc>
        <w:tc>
          <w:tcPr>
            <w:tcW w:w="1099" w:type="dxa"/>
          </w:tcPr>
          <w:p w14:paraId="2689D55E" w14:textId="68E66528"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30.4</w:t>
            </w:r>
          </w:p>
        </w:tc>
        <w:tc>
          <w:tcPr>
            <w:tcW w:w="1099" w:type="dxa"/>
          </w:tcPr>
          <w:p w14:paraId="7598F29E" w14:textId="69C3AE3C"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29.2</w:t>
            </w:r>
          </w:p>
        </w:tc>
      </w:tr>
      <w:tr w:rsidR="003B0E92" w14:paraId="49CCEFB2" w14:textId="07A0914F" w:rsidTr="00DF643F">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7665697E" w14:textId="0C8E7C09" w:rsidR="000634C5" w:rsidRPr="00DF643F" w:rsidRDefault="000634C5" w:rsidP="000634C5">
            <w:pPr>
              <w:rPr>
                <w:sz w:val="20"/>
                <w:szCs w:val="20"/>
              </w:rPr>
            </w:pPr>
            <w:r w:rsidRPr="00DF643F">
              <w:rPr>
                <w:sz w:val="20"/>
                <w:szCs w:val="20"/>
              </w:rPr>
              <w:t>Background NO</w:t>
            </w:r>
            <w:r w:rsidRPr="00DF643F">
              <w:rPr>
                <w:sz w:val="20"/>
                <w:szCs w:val="20"/>
                <w:vertAlign w:val="subscript"/>
              </w:rPr>
              <w:t>2</w:t>
            </w:r>
            <w:r w:rsidRPr="00DF643F">
              <w:rPr>
                <w:sz w:val="20"/>
                <w:szCs w:val="20"/>
              </w:rPr>
              <w:t xml:space="preserve"> concentration (sector-removed)</w:t>
            </w:r>
          </w:p>
        </w:tc>
        <w:tc>
          <w:tcPr>
            <w:tcW w:w="960" w:type="dxa"/>
          </w:tcPr>
          <w:p w14:paraId="2B8D101E" w14:textId="7DA7630D"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15.8</w:t>
            </w:r>
          </w:p>
        </w:tc>
        <w:tc>
          <w:tcPr>
            <w:tcW w:w="1192" w:type="dxa"/>
          </w:tcPr>
          <w:p w14:paraId="5DB026CA" w14:textId="33593F71"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15.3</w:t>
            </w:r>
          </w:p>
        </w:tc>
        <w:tc>
          <w:tcPr>
            <w:tcW w:w="1099" w:type="dxa"/>
          </w:tcPr>
          <w:p w14:paraId="717B3A51" w14:textId="01E3A659"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14.8</w:t>
            </w:r>
          </w:p>
        </w:tc>
        <w:tc>
          <w:tcPr>
            <w:tcW w:w="1099" w:type="dxa"/>
          </w:tcPr>
          <w:p w14:paraId="2790B615" w14:textId="26C69F0E"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14.4</w:t>
            </w:r>
          </w:p>
        </w:tc>
        <w:tc>
          <w:tcPr>
            <w:tcW w:w="1099" w:type="dxa"/>
          </w:tcPr>
          <w:p w14:paraId="4B0E7959" w14:textId="2CD096D5"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13.9</w:t>
            </w:r>
          </w:p>
        </w:tc>
        <w:tc>
          <w:tcPr>
            <w:tcW w:w="1099" w:type="dxa"/>
          </w:tcPr>
          <w:p w14:paraId="5F3A3642" w14:textId="7A02ED14"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13.5</w:t>
            </w:r>
          </w:p>
        </w:tc>
        <w:tc>
          <w:tcPr>
            <w:tcW w:w="1099" w:type="dxa"/>
          </w:tcPr>
          <w:p w14:paraId="35F34B8E" w14:textId="56B5795D"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13.0</w:t>
            </w:r>
          </w:p>
        </w:tc>
      </w:tr>
      <w:tr w:rsidR="003B0E92" w14:paraId="4A6FAC69" w14:textId="51A667D8" w:rsidTr="00DF643F">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5614511C" w14:textId="222675D3" w:rsidR="003B0E92" w:rsidRPr="00DF643F" w:rsidRDefault="003B0E92" w:rsidP="003B0E92">
            <w:pPr>
              <w:rPr>
                <w:sz w:val="20"/>
                <w:szCs w:val="20"/>
              </w:rPr>
            </w:pPr>
            <w:r w:rsidRPr="00DF643F">
              <w:rPr>
                <w:sz w:val="20"/>
                <w:szCs w:val="20"/>
              </w:rPr>
              <w:t>Road-source NO</w:t>
            </w:r>
            <w:r w:rsidRPr="00DF643F">
              <w:rPr>
                <w:sz w:val="20"/>
                <w:szCs w:val="20"/>
                <w:vertAlign w:val="subscript"/>
              </w:rPr>
              <w:t>2</w:t>
            </w:r>
            <w:r w:rsidRPr="00DF643F">
              <w:rPr>
                <w:sz w:val="20"/>
                <w:szCs w:val="20"/>
              </w:rPr>
              <w:t xml:space="preserve"> concentration</w:t>
            </w:r>
          </w:p>
        </w:tc>
        <w:tc>
          <w:tcPr>
            <w:tcW w:w="960" w:type="dxa"/>
          </w:tcPr>
          <w:p w14:paraId="64788A05" w14:textId="02179A4A"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22.7</w:t>
            </w:r>
          </w:p>
        </w:tc>
        <w:tc>
          <w:tcPr>
            <w:tcW w:w="1192" w:type="dxa"/>
          </w:tcPr>
          <w:p w14:paraId="7F53BC67" w14:textId="1300138F"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21.2</w:t>
            </w:r>
          </w:p>
        </w:tc>
        <w:tc>
          <w:tcPr>
            <w:tcW w:w="1099" w:type="dxa"/>
          </w:tcPr>
          <w:p w14:paraId="050E95A4" w14:textId="04FB0DAD"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19.9</w:t>
            </w:r>
          </w:p>
        </w:tc>
        <w:tc>
          <w:tcPr>
            <w:tcW w:w="1099" w:type="dxa"/>
          </w:tcPr>
          <w:p w14:paraId="7F248904" w14:textId="2E484638"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18.8</w:t>
            </w:r>
          </w:p>
        </w:tc>
        <w:tc>
          <w:tcPr>
            <w:tcW w:w="1099" w:type="dxa"/>
          </w:tcPr>
          <w:p w14:paraId="39FBCB15" w14:textId="25BA97CE"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17.7</w:t>
            </w:r>
          </w:p>
        </w:tc>
        <w:tc>
          <w:tcPr>
            <w:tcW w:w="1099" w:type="dxa"/>
          </w:tcPr>
          <w:p w14:paraId="5D9315A1" w14:textId="025E7BED"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16.9</w:t>
            </w:r>
          </w:p>
        </w:tc>
        <w:tc>
          <w:tcPr>
            <w:tcW w:w="1099" w:type="dxa"/>
          </w:tcPr>
          <w:p w14:paraId="77EA9A77" w14:textId="7DC4EE83"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16.2</w:t>
            </w:r>
          </w:p>
        </w:tc>
      </w:tr>
      <w:tr w:rsidR="003B0E92" w14:paraId="43DEAC9A" w14:textId="7E34AEA1" w:rsidTr="00DF643F">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39360EB0" w14:textId="56EA9566" w:rsidR="000634C5" w:rsidRPr="00DF643F" w:rsidRDefault="000634C5" w:rsidP="000634C5">
            <w:pPr>
              <w:rPr>
                <w:sz w:val="20"/>
                <w:szCs w:val="20"/>
              </w:rPr>
            </w:pPr>
            <w:r w:rsidRPr="00DF643F">
              <w:rPr>
                <w:sz w:val="20"/>
                <w:szCs w:val="20"/>
              </w:rPr>
              <w:t>NO</w:t>
            </w:r>
            <w:r w:rsidRPr="00DF643F">
              <w:rPr>
                <w:sz w:val="20"/>
                <w:szCs w:val="20"/>
                <w:vertAlign w:val="subscript"/>
              </w:rPr>
              <w:t>x</w:t>
            </w:r>
            <w:r w:rsidRPr="00DF643F">
              <w:rPr>
                <w:sz w:val="20"/>
                <w:szCs w:val="20"/>
              </w:rPr>
              <w:t xml:space="preserve"> emissions</w:t>
            </w:r>
          </w:p>
        </w:tc>
        <w:tc>
          <w:tcPr>
            <w:tcW w:w="960" w:type="dxa"/>
          </w:tcPr>
          <w:p w14:paraId="69DE47E8" w14:textId="06FF195F"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w:t>
            </w:r>
            <w:r w:rsidR="003B0E92" w:rsidRPr="00DF643F">
              <w:rPr>
                <w:sz w:val="20"/>
                <w:szCs w:val="20"/>
              </w:rPr>
              <w:t>04664</w:t>
            </w:r>
          </w:p>
        </w:tc>
        <w:tc>
          <w:tcPr>
            <w:tcW w:w="1192" w:type="dxa"/>
          </w:tcPr>
          <w:p w14:paraId="0F79848C" w14:textId="4458A85B"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0.04349</w:t>
            </w:r>
          </w:p>
        </w:tc>
        <w:tc>
          <w:tcPr>
            <w:tcW w:w="1099" w:type="dxa"/>
          </w:tcPr>
          <w:p w14:paraId="661F23B3" w14:textId="08942E4B"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0.04087</w:t>
            </w:r>
          </w:p>
        </w:tc>
        <w:tc>
          <w:tcPr>
            <w:tcW w:w="1099" w:type="dxa"/>
          </w:tcPr>
          <w:p w14:paraId="7523017C" w14:textId="58B1D387"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0.03858</w:t>
            </w:r>
          </w:p>
        </w:tc>
        <w:tc>
          <w:tcPr>
            <w:tcW w:w="1099" w:type="dxa"/>
          </w:tcPr>
          <w:p w14:paraId="2E3A8BB6" w14:textId="390CB943"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0.03629</w:t>
            </w:r>
          </w:p>
        </w:tc>
        <w:tc>
          <w:tcPr>
            <w:tcW w:w="1099" w:type="dxa"/>
          </w:tcPr>
          <w:p w14:paraId="2E337C1A" w14:textId="382C034D"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0.03478</w:t>
            </w:r>
          </w:p>
        </w:tc>
        <w:tc>
          <w:tcPr>
            <w:tcW w:w="1099" w:type="dxa"/>
          </w:tcPr>
          <w:p w14:paraId="461C49CE" w14:textId="0B877126" w:rsidR="000634C5" w:rsidRPr="00DF643F" w:rsidRDefault="000634C5" w:rsidP="000634C5">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0.03334</w:t>
            </w:r>
          </w:p>
        </w:tc>
      </w:tr>
      <w:tr w:rsidR="003B0E92" w14:paraId="2E3AB276" w14:textId="46482C4B" w:rsidTr="00DF643F">
        <w:trPr>
          <w:trHeight w:val="20"/>
        </w:trPr>
        <w:tc>
          <w:tcPr>
            <w:cnfStyle w:val="001000000000" w:firstRow="0" w:lastRow="0" w:firstColumn="1" w:lastColumn="0" w:oddVBand="0" w:evenVBand="0" w:oddHBand="0" w:evenHBand="0" w:firstRowFirstColumn="0" w:firstRowLastColumn="0" w:lastRowFirstColumn="0" w:lastRowLastColumn="0"/>
            <w:tcW w:w="1413" w:type="dxa"/>
          </w:tcPr>
          <w:p w14:paraId="50905D32" w14:textId="6309A4F9" w:rsidR="003B0E92" w:rsidRPr="00DF643F" w:rsidRDefault="003B0E92" w:rsidP="003B0E92">
            <w:pPr>
              <w:rPr>
                <w:sz w:val="20"/>
                <w:szCs w:val="20"/>
              </w:rPr>
            </w:pPr>
            <w:r w:rsidRPr="00DF643F">
              <w:rPr>
                <w:sz w:val="20"/>
                <w:szCs w:val="20"/>
              </w:rPr>
              <w:t>Year-to-Year percentage reduction</w:t>
            </w:r>
          </w:p>
        </w:tc>
        <w:tc>
          <w:tcPr>
            <w:tcW w:w="960" w:type="dxa"/>
          </w:tcPr>
          <w:p w14:paraId="4D542B6B" w14:textId="0EE8E7CF"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p>
        </w:tc>
        <w:tc>
          <w:tcPr>
            <w:tcW w:w="1192" w:type="dxa"/>
          </w:tcPr>
          <w:p w14:paraId="3112830F" w14:textId="037D0CC9"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6.75%</w:t>
            </w:r>
          </w:p>
        </w:tc>
        <w:tc>
          <w:tcPr>
            <w:tcW w:w="1099" w:type="dxa"/>
          </w:tcPr>
          <w:p w14:paraId="24C22950" w14:textId="6F602221"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6.03%</w:t>
            </w:r>
          </w:p>
        </w:tc>
        <w:tc>
          <w:tcPr>
            <w:tcW w:w="1099" w:type="dxa"/>
          </w:tcPr>
          <w:p w14:paraId="350031C2" w14:textId="560A4525"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5.58%</w:t>
            </w:r>
          </w:p>
        </w:tc>
        <w:tc>
          <w:tcPr>
            <w:tcW w:w="1099" w:type="dxa"/>
          </w:tcPr>
          <w:p w14:paraId="22E17DA0" w14:textId="630B91B4"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5.94%</w:t>
            </w:r>
          </w:p>
        </w:tc>
        <w:tc>
          <w:tcPr>
            <w:tcW w:w="1099" w:type="dxa"/>
          </w:tcPr>
          <w:p w14:paraId="39E6FC89" w14:textId="4DE18A7F"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4.16%</w:t>
            </w:r>
          </w:p>
        </w:tc>
        <w:tc>
          <w:tcPr>
            <w:tcW w:w="1099" w:type="dxa"/>
          </w:tcPr>
          <w:p w14:paraId="59D80586" w14:textId="608AF763" w:rsidR="003B0E92" w:rsidRPr="00DF643F" w:rsidRDefault="003B0E92" w:rsidP="003B0E92">
            <w:pPr>
              <w:cnfStyle w:val="000000000000" w:firstRow="0" w:lastRow="0" w:firstColumn="0" w:lastColumn="0" w:oddVBand="0" w:evenVBand="0" w:oddHBand="0" w:evenHBand="0" w:firstRowFirstColumn="0" w:firstRowLastColumn="0" w:lastRowFirstColumn="0" w:lastRowLastColumn="0"/>
              <w:rPr>
                <w:sz w:val="20"/>
                <w:szCs w:val="20"/>
              </w:rPr>
            </w:pPr>
            <w:r w:rsidRPr="00DF643F">
              <w:rPr>
                <w:sz w:val="20"/>
                <w:szCs w:val="20"/>
              </w:rPr>
              <w:t>4.15%</w:t>
            </w:r>
          </w:p>
        </w:tc>
      </w:tr>
    </w:tbl>
    <w:p w14:paraId="7D1B71C2" w14:textId="7BEFB27C" w:rsidR="00334F02" w:rsidRDefault="00334F02" w:rsidP="00334F02">
      <w:pPr>
        <w:rPr>
          <w:b/>
          <w:bCs/>
          <w:color w:val="006726"/>
        </w:rPr>
      </w:pPr>
      <w:r>
        <w:rPr>
          <w:b/>
          <w:bCs/>
          <w:color w:val="006726"/>
        </w:rPr>
        <w:t>Other potential influences</w:t>
      </w:r>
    </w:p>
    <w:p w14:paraId="37DD3C59" w14:textId="020A761E" w:rsidR="00334F02" w:rsidRPr="00334F02" w:rsidRDefault="00334F02" w:rsidP="00334F02">
      <w:r>
        <w:t>The projection o</w:t>
      </w:r>
      <w:r w:rsidR="00FC6385">
        <w:t>f traffic flows and NO</w:t>
      </w:r>
      <w:r w:rsidR="00FC6385" w:rsidRPr="00FC6385">
        <w:rPr>
          <w:vertAlign w:val="subscript"/>
        </w:rPr>
        <w:t>x</w:t>
      </w:r>
      <w:r w:rsidR="00FC6385">
        <w:t xml:space="preserve"> emissions is based on simple projection factors that do not consider the Tyne Bridge closure</w:t>
      </w:r>
      <w:r w:rsidR="00664F03">
        <w:t xml:space="preserve">, </w:t>
      </w:r>
      <w:r w:rsidR="00FC6385">
        <w:t>local developments</w:t>
      </w:r>
      <w:r w:rsidR="00535546">
        <w:t>, such as a potential pedestrianisation of Blackett Street</w:t>
      </w:r>
      <w:r w:rsidR="00664F03">
        <w:t>, or how meteorological conditions could influence NO</w:t>
      </w:r>
      <w:r w:rsidR="00664F03" w:rsidRPr="00664F03">
        <w:rPr>
          <w:vertAlign w:val="subscript"/>
        </w:rPr>
        <w:t>2</w:t>
      </w:r>
      <w:r w:rsidR="00664F03">
        <w:t xml:space="preserve"> concentrations</w:t>
      </w:r>
      <w:r w:rsidR="00FC6385">
        <w:t xml:space="preserve">. </w:t>
      </w:r>
    </w:p>
    <w:p w14:paraId="4109DED7" w14:textId="62FD4137" w:rsidR="00596BD2" w:rsidRDefault="00596BD2" w:rsidP="00246718">
      <w:r w:rsidRPr="00FC6385">
        <w:t>It is not confirmed at this time how traffic flow</w:t>
      </w:r>
      <w:r w:rsidR="00C067BF">
        <w:t>s have changed due to the bridge restrictions, or how they</w:t>
      </w:r>
      <w:r w:rsidRPr="00FC6385">
        <w:t xml:space="preserve"> may change once the bridge restrictions are lifted; however, the traffic management will need to consider the revised junction on the Gateshead side where the viaduct </w:t>
      </w:r>
      <w:r w:rsidR="00AE63DE">
        <w:t>was closed to traffic</w:t>
      </w:r>
      <w:r w:rsidRPr="00FC6385">
        <w:t xml:space="preserve"> in December 2024</w:t>
      </w:r>
      <w:r w:rsidR="00AE63DE">
        <w:t xml:space="preserve"> and is awaiting demoli</w:t>
      </w:r>
      <w:r w:rsidR="00041511">
        <w:t>tion</w:t>
      </w:r>
      <w:r w:rsidR="00535546">
        <w:t>, and where city centre buses may be rerouted if Blackett Street is closed</w:t>
      </w:r>
      <w:r w:rsidRPr="00FC6385">
        <w:t>.</w:t>
      </w:r>
      <w:r w:rsidR="00535546">
        <w:t xml:space="preserve"> In each case, these potential outcomes will be screened to determine where targeted local air quality assessments are required.</w:t>
      </w:r>
      <w:r>
        <w:t xml:space="preserve"> </w:t>
      </w:r>
    </w:p>
    <w:p w14:paraId="790DD3E0" w14:textId="77777777" w:rsidR="00C51F09" w:rsidRPr="002B4B5B" w:rsidRDefault="00C51F09" w:rsidP="00E351DA">
      <w:pPr>
        <w:pStyle w:val="Heading2"/>
        <w:numPr>
          <w:ilvl w:val="1"/>
          <w:numId w:val="11"/>
        </w:numPr>
      </w:pPr>
      <w:bookmarkStart w:id="93" w:name="_Toc88486000"/>
      <w:bookmarkStart w:id="94" w:name="_Toc141346894"/>
      <w:bookmarkStart w:id="95" w:name="_Toc222131872"/>
      <w:r w:rsidRPr="002B4B5B">
        <w:lastRenderedPageBreak/>
        <w:t>Key Priorities</w:t>
      </w:r>
      <w:bookmarkEnd w:id="93"/>
      <w:bookmarkEnd w:id="94"/>
      <w:bookmarkEnd w:id="95"/>
    </w:p>
    <w:p w14:paraId="3F628137" w14:textId="10DF1C4D" w:rsidR="004A2966" w:rsidRPr="004A2966" w:rsidRDefault="004A2966" w:rsidP="0046508E">
      <w:r>
        <w:t xml:space="preserve">Priority areas for the lifetime of this AQAP are shown below. </w:t>
      </w:r>
      <w:r>
        <w:fldChar w:fldCharType="begin"/>
      </w:r>
      <w:r>
        <w:instrText xml:space="preserve"> REF _Ref444770859 \h </w:instrText>
      </w:r>
      <w:r>
        <w:fldChar w:fldCharType="separate"/>
      </w:r>
      <w:r w:rsidRPr="00E3664B">
        <w:t xml:space="preserve">Table </w:t>
      </w:r>
      <w:r>
        <w:rPr>
          <w:noProof/>
        </w:rPr>
        <w:t>5</w:t>
      </w:r>
      <w:r>
        <w:t>.</w:t>
      </w:r>
      <w:r>
        <w:rPr>
          <w:noProof/>
        </w:rPr>
        <w:t>1</w:t>
      </w:r>
      <w:r>
        <w:fldChar w:fldCharType="end"/>
      </w:r>
      <w:r>
        <w:t xml:space="preserve"> provides details of all measures proposed to achieve these priorities.</w:t>
      </w:r>
    </w:p>
    <w:p w14:paraId="13210CE9" w14:textId="7C4FB4EF" w:rsidR="00C51F09" w:rsidRPr="00E97D24" w:rsidRDefault="00C51F09" w:rsidP="00E351DA">
      <w:pPr>
        <w:pStyle w:val="ListParagraph"/>
        <w:numPr>
          <w:ilvl w:val="0"/>
          <w:numId w:val="5"/>
        </w:numPr>
        <w:ind w:left="714" w:hanging="357"/>
        <w:rPr>
          <w:rFonts w:cs="Arial"/>
        </w:rPr>
      </w:pPr>
      <w:r w:rsidRPr="004A2966">
        <w:rPr>
          <w:rFonts w:cs="Arial"/>
        </w:rPr>
        <w:t xml:space="preserve">Priority 1 </w:t>
      </w:r>
      <w:r w:rsidR="004A2966" w:rsidRPr="004A2966">
        <w:rPr>
          <w:rFonts w:cs="Arial"/>
        </w:rPr>
        <w:t>–</w:t>
      </w:r>
      <w:r w:rsidRPr="004A2966">
        <w:rPr>
          <w:rFonts w:cs="Arial"/>
        </w:rPr>
        <w:t xml:space="preserve"> </w:t>
      </w:r>
      <w:r w:rsidR="004A2966" w:rsidRPr="004A2966">
        <w:rPr>
          <w:rFonts w:cs="Arial"/>
        </w:rPr>
        <w:t xml:space="preserve">To achieve compliance with the </w:t>
      </w:r>
      <w:r w:rsidR="004A2966" w:rsidRPr="004A2966">
        <w:rPr>
          <w:rFonts w:eastAsia="Arial" w:cs="Arial"/>
          <w:kern w:val="18"/>
          <w:lang w:val="en-IE"/>
        </w:rPr>
        <w:t>NO</w:t>
      </w:r>
      <w:r w:rsidR="004A2966" w:rsidRPr="004A2966">
        <w:rPr>
          <w:rFonts w:eastAsia="Arial" w:cs="Arial"/>
          <w:kern w:val="18"/>
          <w:vertAlign w:val="subscript"/>
          <w:lang w:val="en-IE"/>
        </w:rPr>
        <w:t>2</w:t>
      </w:r>
      <w:r w:rsidR="004A2966" w:rsidRPr="004A2966">
        <w:rPr>
          <w:rFonts w:cs="Arial"/>
        </w:rPr>
        <w:t xml:space="preserve"> annual mean objective within </w:t>
      </w:r>
      <w:r w:rsidR="004A2966" w:rsidRPr="00E97D24">
        <w:rPr>
          <w:rFonts w:cs="Arial"/>
        </w:rPr>
        <w:t xml:space="preserve">the AQMA </w:t>
      </w:r>
      <w:r w:rsidR="00D20B74" w:rsidRPr="00E97D24">
        <w:rPr>
          <w:rFonts w:cs="Arial"/>
        </w:rPr>
        <w:t xml:space="preserve">and maintain compliance for at least three years </w:t>
      </w:r>
      <w:r w:rsidR="004A2966" w:rsidRPr="00E97D24">
        <w:rPr>
          <w:rFonts w:cs="Arial"/>
        </w:rPr>
        <w:t>to enable revocation</w:t>
      </w:r>
      <w:r w:rsidR="00D20B74" w:rsidRPr="00E97D24">
        <w:rPr>
          <w:rFonts w:cs="Arial"/>
        </w:rPr>
        <w:t xml:space="preserve"> of the AQMA</w:t>
      </w:r>
      <w:r w:rsidR="004A2966" w:rsidRPr="00E97D24">
        <w:rPr>
          <w:rFonts w:cs="Arial"/>
        </w:rPr>
        <w:t xml:space="preserve">. </w:t>
      </w:r>
    </w:p>
    <w:p w14:paraId="75F907FB" w14:textId="7E0F975C" w:rsidR="00C51F09" w:rsidRPr="00E97D24" w:rsidRDefault="00C51F09" w:rsidP="00E351DA">
      <w:pPr>
        <w:pStyle w:val="ListParagraph"/>
        <w:numPr>
          <w:ilvl w:val="0"/>
          <w:numId w:val="5"/>
        </w:numPr>
        <w:ind w:left="714" w:hanging="357"/>
        <w:rPr>
          <w:rFonts w:cs="Arial"/>
        </w:rPr>
      </w:pPr>
      <w:r w:rsidRPr="00E97D24">
        <w:rPr>
          <w:rFonts w:cs="Arial"/>
        </w:rPr>
        <w:t xml:space="preserve">Priority 2 - </w:t>
      </w:r>
      <w:r w:rsidR="00E97D24" w:rsidRPr="00E97D24">
        <w:rPr>
          <w:rFonts w:cs="Arial"/>
        </w:rPr>
        <w:t>To achieve compliance with the NO</w:t>
      </w:r>
      <w:r w:rsidR="00E97D24" w:rsidRPr="00E97D24">
        <w:rPr>
          <w:rFonts w:cs="Arial"/>
          <w:vertAlign w:val="subscript"/>
        </w:rPr>
        <w:t>2</w:t>
      </w:r>
      <w:r w:rsidR="00E97D24" w:rsidRPr="00E97D24">
        <w:rPr>
          <w:rFonts w:cs="Arial"/>
        </w:rPr>
        <w:t xml:space="preserve"> annual mean Limit Values within the CAZ and </w:t>
      </w:r>
      <w:r w:rsidR="00C067BF">
        <w:rPr>
          <w:rFonts w:cs="Arial"/>
        </w:rPr>
        <w:t>work towards</w:t>
      </w:r>
      <w:r w:rsidR="00E97D24" w:rsidRPr="00E97D24">
        <w:rPr>
          <w:rFonts w:cs="Arial"/>
        </w:rPr>
        <w:t xml:space="preserve"> revocation of the CAZ.</w:t>
      </w:r>
    </w:p>
    <w:p w14:paraId="6DB41101" w14:textId="3ABFFEB4" w:rsidR="00C51F09" w:rsidRPr="00E97D24" w:rsidRDefault="00C51F09" w:rsidP="00E351DA">
      <w:pPr>
        <w:pStyle w:val="ListParagraph"/>
        <w:numPr>
          <w:ilvl w:val="0"/>
          <w:numId w:val="5"/>
        </w:numPr>
        <w:ind w:left="714" w:hanging="357"/>
        <w:rPr>
          <w:rFonts w:cs="Arial"/>
        </w:rPr>
      </w:pPr>
      <w:r>
        <w:rPr>
          <w:rFonts w:cs="Arial"/>
        </w:rPr>
        <w:t xml:space="preserve">Priority 3 </w:t>
      </w:r>
      <w:r w:rsidR="00E97D24">
        <w:rPr>
          <w:rFonts w:cs="Arial"/>
        </w:rPr>
        <w:t>–</w:t>
      </w:r>
      <w:r w:rsidR="00B34D0A">
        <w:rPr>
          <w:rFonts w:cs="Arial"/>
        </w:rPr>
        <w:t xml:space="preserve"> </w:t>
      </w:r>
      <w:r w:rsidR="00E97D24" w:rsidRPr="00E97D24">
        <w:rPr>
          <w:rFonts w:cs="Arial"/>
        </w:rPr>
        <w:t xml:space="preserve">Collaboration with North East Combined Authority (NECA) on transport related issues, including the electrification of buses. </w:t>
      </w:r>
    </w:p>
    <w:p w14:paraId="62BB5CE9" w14:textId="3834B7DF" w:rsidR="00032FC9" w:rsidRDefault="00032FC9" w:rsidP="000E0C77">
      <w:pPr>
        <w:pStyle w:val="Heading1"/>
        <w:numPr>
          <w:ilvl w:val="0"/>
          <w:numId w:val="0"/>
        </w:numPr>
        <w:ind w:left="1134"/>
        <w:sectPr w:rsidR="00032FC9" w:rsidSect="002B4B5B">
          <w:pgSz w:w="11906" w:h="16838" w:code="9"/>
          <w:pgMar w:top="1474" w:right="1418" w:bottom="1134" w:left="1418" w:header="964" w:footer="454" w:gutter="0"/>
          <w:cols w:space="708"/>
          <w:docGrid w:linePitch="360"/>
        </w:sectPr>
      </w:pPr>
      <w:bookmarkStart w:id="96" w:name="_Toc219711651"/>
      <w:bookmarkStart w:id="97" w:name="_Toc219713509"/>
      <w:bookmarkStart w:id="98" w:name="_Toc88486001"/>
      <w:bookmarkEnd w:id="41"/>
      <w:bookmarkEnd w:id="96"/>
      <w:bookmarkEnd w:id="97"/>
    </w:p>
    <w:p w14:paraId="07AAD04D" w14:textId="3DD61129" w:rsidR="00050CF0" w:rsidRPr="002B4B5B" w:rsidRDefault="00CE793F" w:rsidP="000E0C77">
      <w:pPr>
        <w:pStyle w:val="Heading1"/>
      </w:pPr>
      <w:bookmarkStart w:id="99" w:name="_Toc141346895"/>
      <w:bookmarkStart w:id="100" w:name="_Toc222131873"/>
      <w:r w:rsidRPr="002B4B5B">
        <w:lastRenderedPageBreak/>
        <w:t xml:space="preserve">Development and Implementation of </w:t>
      </w:r>
      <w:r w:rsidR="000965C2" w:rsidRPr="00D04771">
        <w:t>Newcastle City Council</w:t>
      </w:r>
      <w:r w:rsidRPr="002B4B5B">
        <w:t xml:space="preserve"> AQAP</w:t>
      </w:r>
      <w:bookmarkEnd w:id="98"/>
      <w:bookmarkEnd w:id="99"/>
      <w:bookmarkEnd w:id="100"/>
    </w:p>
    <w:p w14:paraId="3F05DF22" w14:textId="19400C8B" w:rsidR="001B1413" w:rsidRPr="002B4B5B" w:rsidRDefault="001B1413" w:rsidP="00E351DA">
      <w:pPr>
        <w:pStyle w:val="Heading2"/>
        <w:numPr>
          <w:ilvl w:val="1"/>
          <w:numId w:val="11"/>
        </w:numPr>
      </w:pPr>
      <w:bookmarkStart w:id="101" w:name="_Toc88486002"/>
      <w:bookmarkStart w:id="102" w:name="_Toc141346896"/>
      <w:bookmarkStart w:id="103" w:name="_Toc222131874"/>
      <w:r w:rsidRPr="002B4B5B">
        <w:t>Consultation and Stakeholder Engagement</w:t>
      </w:r>
      <w:bookmarkEnd w:id="101"/>
      <w:bookmarkEnd w:id="102"/>
      <w:bookmarkEnd w:id="103"/>
    </w:p>
    <w:p w14:paraId="6C80AFEF" w14:textId="1A9B17B5" w:rsidR="0036592D" w:rsidRPr="00DF643F" w:rsidRDefault="0036592D" w:rsidP="009501D3">
      <w:pPr>
        <w:rPr>
          <w:color w:val="FF0000"/>
        </w:rPr>
      </w:pPr>
      <w:r w:rsidRPr="00D4670E">
        <w:rPr>
          <w:color w:val="FF0000"/>
        </w:rPr>
        <w:t>Section 4.1 and Appendix A to be completed in Final AQAP.</w:t>
      </w:r>
    </w:p>
    <w:p w14:paraId="5F4DE7ED" w14:textId="52CBB8E3" w:rsidR="001B1413" w:rsidRPr="003A083F" w:rsidRDefault="001B1413" w:rsidP="009501D3">
      <w:pPr>
        <w:rPr>
          <w:color w:val="FF0000"/>
        </w:rPr>
      </w:pPr>
      <w:r w:rsidRPr="00E3664B">
        <w:t xml:space="preserve">In developing/updating </w:t>
      </w:r>
      <w:r w:rsidR="00645F0B" w:rsidRPr="00E3664B">
        <w:t xml:space="preserve">this </w:t>
      </w:r>
      <w:r w:rsidR="00360F4A">
        <w:t>AQAP</w:t>
      </w:r>
      <w:r w:rsidR="00645F0B" w:rsidRPr="00E3664B">
        <w:t>,</w:t>
      </w:r>
      <w:r w:rsidRPr="00E3664B">
        <w:t xml:space="preserve"> we have worked with other local authorities, agencies, businesses and the local community to improve local air quality. Schedule 11 of the Environment Act 1995</w:t>
      </w:r>
      <w:r w:rsidR="006B4492" w:rsidRPr="006B4492">
        <w:t>, as amended by the Environment Act (2021),</w:t>
      </w:r>
      <w:r w:rsidRPr="00E3664B">
        <w:t xml:space="preserve"> requires local authorities to consult the bodies listed in</w:t>
      </w:r>
      <w:r w:rsidR="00645F0B" w:rsidRPr="00E3664B">
        <w:t xml:space="preserve"> </w:t>
      </w:r>
      <w:r w:rsidR="00645F0B" w:rsidRPr="00E3664B">
        <w:fldChar w:fldCharType="begin"/>
      </w:r>
      <w:r w:rsidR="00645F0B" w:rsidRPr="00E3664B">
        <w:instrText xml:space="preserve"> REF _Ref427069980 \h </w:instrText>
      </w:r>
      <w:r w:rsidR="0046508E">
        <w:instrText xml:space="preserve"> \* MERGEFORMAT </w:instrText>
      </w:r>
      <w:r w:rsidR="00645F0B" w:rsidRPr="00E3664B">
        <w:fldChar w:fldCharType="separate"/>
      </w:r>
      <w:r w:rsidR="00B27C7A" w:rsidRPr="002B4B5B">
        <w:t xml:space="preserve">Table </w:t>
      </w:r>
      <w:r w:rsidR="00B27C7A">
        <w:rPr>
          <w:noProof/>
        </w:rPr>
        <w:t>4.1</w:t>
      </w:r>
      <w:r w:rsidR="00645F0B" w:rsidRPr="00E3664B">
        <w:fldChar w:fldCharType="end"/>
      </w:r>
      <w:r w:rsidR="00645F0B" w:rsidRPr="00E3664B">
        <w:t>.</w:t>
      </w:r>
      <w:r w:rsidRPr="00E3664B">
        <w:t xml:space="preserve"> </w:t>
      </w:r>
      <w:r w:rsidR="003A083F" w:rsidRPr="003577E7">
        <w:rPr>
          <w:color w:val="FF0000"/>
        </w:rPr>
        <w:t xml:space="preserve">&lt;insert text here, e.g. </w:t>
      </w:r>
      <w:r w:rsidRPr="003A083F">
        <w:rPr>
          <w:color w:val="FF0000"/>
        </w:rPr>
        <w:t>In addition</w:t>
      </w:r>
      <w:r w:rsidR="00645F0B" w:rsidRPr="003A083F">
        <w:rPr>
          <w:color w:val="FF0000"/>
        </w:rPr>
        <w:t>,</w:t>
      </w:r>
      <w:r w:rsidRPr="003A083F">
        <w:rPr>
          <w:color w:val="FF0000"/>
        </w:rPr>
        <w:t xml:space="preserve"> we have undertaken the following stakeholder engagement:</w:t>
      </w:r>
    </w:p>
    <w:p w14:paraId="4AC7615D" w14:textId="23BBABD3" w:rsidR="001B1413" w:rsidRPr="003A083F" w:rsidRDefault="003A083F" w:rsidP="00E351DA">
      <w:pPr>
        <w:numPr>
          <w:ilvl w:val="0"/>
          <w:numId w:val="7"/>
        </w:numPr>
        <w:rPr>
          <w:color w:val="FF0000"/>
        </w:rPr>
      </w:pPr>
      <w:r>
        <w:rPr>
          <w:color w:val="FF0000"/>
        </w:rPr>
        <w:t>W</w:t>
      </w:r>
      <w:r w:rsidR="00D3637A" w:rsidRPr="003A083F">
        <w:rPr>
          <w:color w:val="FF0000"/>
        </w:rPr>
        <w:t>eb</w:t>
      </w:r>
      <w:r w:rsidR="001B1413" w:rsidRPr="003A083F">
        <w:rPr>
          <w:color w:val="FF0000"/>
        </w:rPr>
        <w:t>site</w:t>
      </w:r>
    </w:p>
    <w:p w14:paraId="5DEF06B3" w14:textId="77777777" w:rsidR="001B1413" w:rsidRPr="003A083F" w:rsidRDefault="001B1413" w:rsidP="00E351DA">
      <w:pPr>
        <w:numPr>
          <w:ilvl w:val="0"/>
          <w:numId w:val="7"/>
        </w:numPr>
        <w:rPr>
          <w:color w:val="FF0000"/>
        </w:rPr>
      </w:pPr>
      <w:r w:rsidRPr="003A083F">
        <w:rPr>
          <w:color w:val="FF0000"/>
        </w:rPr>
        <w:t>Articles in local newspaper</w:t>
      </w:r>
    </w:p>
    <w:p w14:paraId="35E0D9AB" w14:textId="77777777" w:rsidR="001B1413" w:rsidRPr="003A083F" w:rsidRDefault="001B1413" w:rsidP="00E351DA">
      <w:pPr>
        <w:numPr>
          <w:ilvl w:val="0"/>
          <w:numId w:val="7"/>
        </w:numPr>
        <w:rPr>
          <w:color w:val="FF0000"/>
        </w:rPr>
      </w:pPr>
      <w:r w:rsidRPr="003A083F">
        <w:rPr>
          <w:color w:val="FF0000"/>
        </w:rPr>
        <w:t>Questionnaires distributed directly to households along major roads</w:t>
      </w:r>
    </w:p>
    <w:p w14:paraId="0E0B4A65" w14:textId="7F2C20E2" w:rsidR="00D3637A" w:rsidRPr="003A083F" w:rsidRDefault="003A083F" w:rsidP="00E351DA">
      <w:pPr>
        <w:numPr>
          <w:ilvl w:val="0"/>
          <w:numId w:val="7"/>
        </w:numPr>
        <w:rPr>
          <w:color w:val="FF0000"/>
        </w:rPr>
      </w:pPr>
      <w:r w:rsidRPr="003A083F">
        <w:rPr>
          <w:color w:val="FF0000"/>
        </w:rPr>
        <w:t>E</w:t>
      </w:r>
      <w:r w:rsidR="00D3637A" w:rsidRPr="003A083F">
        <w:rPr>
          <w:color w:val="FF0000"/>
        </w:rPr>
        <w:t>tc</w:t>
      </w:r>
      <w:r>
        <w:rPr>
          <w:color w:val="FF0000"/>
        </w:rPr>
        <w:t>.</w:t>
      </w:r>
      <w:r w:rsidRPr="003A083F">
        <w:rPr>
          <w:color w:val="FF0000"/>
        </w:rPr>
        <w:t>&gt;</w:t>
      </w:r>
    </w:p>
    <w:p w14:paraId="6231ACED" w14:textId="255DCD46" w:rsidR="001B1413" w:rsidRDefault="001B1413" w:rsidP="009501D3">
      <w:r w:rsidRPr="00E3664B">
        <w:t xml:space="preserve">The response to our consultation stakeholder engagement is given in </w:t>
      </w:r>
      <w:r w:rsidR="009501D3">
        <w:fldChar w:fldCharType="begin"/>
      </w:r>
      <w:r w:rsidR="009501D3">
        <w:instrText xml:space="preserve"> REF _Ref88488212 \h </w:instrText>
      </w:r>
      <w:r w:rsidR="009501D3">
        <w:fldChar w:fldCharType="separate"/>
      </w:r>
      <w:r w:rsidR="00ED1B6B" w:rsidRPr="00E3664B">
        <w:t>Appendix A</w:t>
      </w:r>
      <w:r w:rsidR="00ED1B6B">
        <w:t>:</w:t>
      </w:r>
      <w:r w:rsidR="00ED1B6B" w:rsidRPr="00E3664B">
        <w:t xml:space="preserve"> Response to Consultation</w:t>
      </w:r>
      <w:r w:rsidR="009501D3">
        <w:fldChar w:fldCharType="end"/>
      </w:r>
      <w:r w:rsidRPr="00E3664B">
        <w:t>.</w:t>
      </w:r>
    </w:p>
    <w:p w14:paraId="26C3EEB2" w14:textId="21B84877" w:rsidR="008C1620" w:rsidRPr="002B4B5B" w:rsidRDefault="008C1620" w:rsidP="0046508E">
      <w:pPr>
        <w:pStyle w:val="Caption"/>
      </w:pPr>
      <w:bookmarkStart w:id="104" w:name="_Ref427069980"/>
      <w:bookmarkStart w:id="105" w:name="_Toc222131903"/>
      <w:r w:rsidRPr="002B4B5B">
        <w:t xml:space="preserve">Table </w:t>
      </w:r>
      <w:r>
        <w:fldChar w:fldCharType="begin"/>
      </w:r>
      <w:r>
        <w:instrText>STYLEREF 1 \s</w:instrText>
      </w:r>
      <w:r>
        <w:fldChar w:fldCharType="separate"/>
      </w:r>
      <w:r w:rsidR="000D2118">
        <w:rPr>
          <w:noProof/>
        </w:rPr>
        <w:t>4</w:t>
      </w:r>
      <w:r>
        <w:fldChar w:fldCharType="end"/>
      </w:r>
      <w:r w:rsidR="00B83CC6">
        <w:t>.</w:t>
      </w:r>
      <w:r>
        <w:fldChar w:fldCharType="begin"/>
      </w:r>
      <w:r>
        <w:instrText>SEQ Table \* ARABIC \s 1</w:instrText>
      </w:r>
      <w:r>
        <w:fldChar w:fldCharType="separate"/>
      </w:r>
      <w:r w:rsidR="000D2118">
        <w:rPr>
          <w:noProof/>
        </w:rPr>
        <w:t>1</w:t>
      </w:r>
      <w:r>
        <w:fldChar w:fldCharType="end"/>
      </w:r>
      <w:bookmarkEnd w:id="104"/>
      <w:r w:rsidRPr="002B4B5B">
        <w:t xml:space="preserve"> </w:t>
      </w:r>
      <w:r w:rsidR="00BE428E" w:rsidRPr="00BE428E">
        <w:t>‒</w:t>
      </w:r>
      <w:r w:rsidRPr="002B4B5B">
        <w:t xml:space="preserve"> Consultation Undertaken</w:t>
      </w:r>
      <w:bookmarkEnd w:id="105"/>
    </w:p>
    <w:tbl>
      <w:tblPr>
        <w:tblStyle w:val="LAQMReporting"/>
        <w:tblW w:w="5000" w:type="pct"/>
        <w:tblLook w:val="04A0" w:firstRow="1" w:lastRow="0" w:firstColumn="1" w:lastColumn="0" w:noHBand="0" w:noVBand="1"/>
      </w:tblPr>
      <w:tblGrid>
        <w:gridCol w:w="5023"/>
        <w:gridCol w:w="4037"/>
      </w:tblGrid>
      <w:tr w:rsidR="009501D3" w:rsidRPr="00E3664B" w14:paraId="0CA6C575" w14:textId="10BEE4BA" w:rsidTr="0021416E">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0" w:type="pct"/>
            <w:shd w:val="clear" w:color="auto" w:fill="006600"/>
          </w:tcPr>
          <w:p w14:paraId="79C16E06" w14:textId="77777777" w:rsidR="009501D3" w:rsidRPr="009501D3" w:rsidRDefault="009501D3" w:rsidP="4D6AC012">
            <w:pPr>
              <w:suppressAutoHyphens/>
              <w:rPr>
                <w:rFonts w:cs="Arial"/>
              </w:rPr>
            </w:pPr>
            <w:r w:rsidRPr="4D6AC012">
              <w:rPr>
                <w:rFonts w:cs="Arial"/>
              </w:rPr>
              <w:t>Consultee</w:t>
            </w:r>
          </w:p>
        </w:tc>
        <w:tc>
          <w:tcPr>
            <w:tcW w:w="0" w:type="pct"/>
            <w:shd w:val="clear" w:color="auto" w:fill="006600"/>
          </w:tcPr>
          <w:p w14:paraId="06597D87" w14:textId="043561A0" w:rsidR="009501D3" w:rsidRPr="009501D3" w:rsidRDefault="009501D3" w:rsidP="4D6AC012">
            <w:pPr>
              <w:suppressAutoHyphens/>
              <w:cnfStyle w:val="100000000000" w:firstRow="1" w:lastRow="0" w:firstColumn="0" w:lastColumn="0" w:oddVBand="0" w:evenVBand="0" w:oddHBand="0" w:evenHBand="0" w:firstRowFirstColumn="0" w:firstRowLastColumn="0" w:lastRowFirstColumn="0" w:lastRowLastColumn="0"/>
              <w:rPr>
                <w:rFonts w:cs="Arial"/>
              </w:rPr>
            </w:pPr>
            <w:r w:rsidRPr="4D6AC012">
              <w:rPr>
                <w:rFonts w:cs="Arial"/>
              </w:rPr>
              <w:t>Consult</w:t>
            </w:r>
            <w:r w:rsidR="00032FC9" w:rsidRPr="4D6AC012">
              <w:rPr>
                <w:rFonts w:cs="Arial"/>
              </w:rPr>
              <w:t>ation Undertaken</w:t>
            </w:r>
          </w:p>
        </w:tc>
      </w:tr>
      <w:tr w:rsidR="009501D3" w:rsidRPr="00E3664B" w14:paraId="2B70A55C" w14:textId="3231623C" w:rsidTr="4D6AC012">
        <w:trPr>
          <w:trHeight w:val="552"/>
        </w:trPr>
        <w:tc>
          <w:tcPr>
            <w:cnfStyle w:val="001000000000" w:firstRow="0" w:lastRow="0" w:firstColumn="1" w:lastColumn="0" w:oddVBand="0" w:evenVBand="0" w:oddHBand="0" w:evenHBand="0" w:firstRowFirstColumn="0" w:firstRowLastColumn="0" w:lastRowFirstColumn="0" w:lastRowLastColumn="0"/>
            <w:tcW w:w="0" w:type="pct"/>
          </w:tcPr>
          <w:p w14:paraId="7C823D25" w14:textId="69B9F2E0" w:rsidR="009501D3" w:rsidRPr="009501D3" w:rsidRDefault="00410F18" w:rsidP="009501D3">
            <w:r>
              <w:t>T</w:t>
            </w:r>
            <w:r w:rsidR="009501D3" w:rsidRPr="009501D3">
              <w:t>he Secretary of State</w:t>
            </w:r>
          </w:p>
        </w:tc>
        <w:tc>
          <w:tcPr>
            <w:tcW w:w="0" w:type="pct"/>
          </w:tcPr>
          <w:p w14:paraId="2B92687F" w14:textId="3F1E526B" w:rsidR="009501D3" w:rsidRPr="009501D3" w:rsidRDefault="003A083F" w:rsidP="009501D3">
            <w:pPr>
              <w:cnfStyle w:val="000000000000" w:firstRow="0" w:lastRow="0" w:firstColumn="0" w:lastColumn="0" w:oddVBand="0" w:evenVBand="0" w:oddHBand="0" w:evenHBand="0" w:firstRowFirstColumn="0" w:firstRowLastColumn="0" w:lastRowFirstColumn="0" w:lastRowLastColumn="0"/>
              <w:rPr>
                <w:color w:val="FF0000"/>
              </w:rPr>
            </w:pPr>
            <w:r>
              <w:rPr>
                <w:rFonts w:cs="Arial Narrow"/>
                <w:color w:val="FF0000"/>
              </w:rPr>
              <w:t>&lt;</w:t>
            </w:r>
            <w:r w:rsidR="009501D3" w:rsidRPr="009501D3">
              <w:rPr>
                <w:rFonts w:cs="Arial Narrow"/>
                <w:color w:val="FF0000"/>
              </w:rPr>
              <w:t>Yes</w:t>
            </w:r>
            <w:r>
              <w:rPr>
                <w:rFonts w:cs="Arial Narrow"/>
                <w:color w:val="FF0000"/>
              </w:rPr>
              <w:t>/No&gt;</w:t>
            </w:r>
          </w:p>
        </w:tc>
      </w:tr>
      <w:tr w:rsidR="003A083F" w:rsidRPr="00E3664B" w14:paraId="29F72B5A" w14:textId="2ABF9BAB"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46B1B19A" w14:textId="1DA77882" w:rsidR="003A083F" w:rsidRPr="009501D3" w:rsidRDefault="003A083F" w:rsidP="003A083F">
            <w:r>
              <w:t>T</w:t>
            </w:r>
            <w:r w:rsidRPr="009501D3">
              <w:t>he Environment Agency</w:t>
            </w:r>
          </w:p>
        </w:tc>
        <w:tc>
          <w:tcPr>
            <w:tcW w:w="2228" w:type="pct"/>
          </w:tcPr>
          <w:p w14:paraId="13C3A632" w14:textId="71BB8475" w:rsidR="003A083F" w:rsidRPr="009501D3" w:rsidRDefault="003A083F">
            <w:pPr>
              <w:cnfStyle w:val="000000000000" w:firstRow="0" w:lastRow="0" w:firstColumn="0" w:lastColumn="0" w:oddVBand="0" w:evenVBand="0" w:oddHBand="0" w:evenHBand="0" w:firstRowFirstColumn="0" w:firstRowLastColumn="0" w:lastRowFirstColumn="0" w:lastRowLastColumn="0"/>
              <w:rPr>
                <w:color w:val="FF0000"/>
              </w:rPr>
            </w:pPr>
            <w:r w:rsidRPr="001304D9">
              <w:rPr>
                <w:rFonts w:cs="Arial Narrow"/>
                <w:color w:val="FF0000"/>
              </w:rPr>
              <w:t>&lt;Yes/No&gt;</w:t>
            </w:r>
          </w:p>
        </w:tc>
      </w:tr>
      <w:tr w:rsidR="003A083F" w:rsidRPr="00E3664B" w14:paraId="0630DFC3" w14:textId="53CB930C"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5BA5E436" w14:textId="6DC54A58" w:rsidR="003A083F" w:rsidRPr="009501D3" w:rsidRDefault="005969AE" w:rsidP="003A083F">
            <w:r>
              <w:t>National Highways</w:t>
            </w:r>
          </w:p>
        </w:tc>
        <w:tc>
          <w:tcPr>
            <w:tcW w:w="2228" w:type="pct"/>
          </w:tcPr>
          <w:p w14:paraId="43D506C1" w14:textId="41D56F4B" w:rsidR="003A083F" w:rsidRPr="009501D3" w:rsidRDefault="003A083F">
            <w:pPr>
              <w:cnfStyle w:val="000000000000" w:firstRow="0" w:lastRow="0" w:firstColumn="0" w:lastColumn="0" w:oddVBand="0" w:evenVBand="0" w:oddHBand="0" w:evenHBand="0" w:firstRowFirstColumn="0" w:firstRowLastColumn="0" w:lastRowFirstColumn="0" w:lastRowLastColumn="0"/>
              <w:rPr>
                <w:color w:val="FF0000"/>
              </w:rPr>
            </w:pPr>
            <w:r w:rsidRPr="001304D9">
              <w:rPr>
                <w:rFonts w:cs="Arial Narrow"/>
                <w:color w:val="FF0000"/>
              </w:rPr>
              <w:t>&lt;Yes/No&gt;</w:t>
            </w:r>
          </w:p>
        </w:tc>
      </w:tr>
      <w:tr w:rsidR="00B368B0" w:rsidRPr="00E3664B" w14:paraId="6E81FEEE"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7DEF483B" w14:textId="4DC23D06" w:rsidR="00B368B0" w:rsidRDefault="00B368B0" w:rsidP="003A083F">
            <w:r>
              <w:t>A</w:t>
            </w:r>
            <w:r w:rsidRPr="009501D3">
              <w:t>ll neighbouring local authorities</w:t>
            </w:r>
          </w:p>
        </w:tc>
        <w:tc>
          <w:tcPr>
            <w:tcW w:w="2228" w:type="pct"/>
          </w:tcPr>
          <w:p w14:paraId="5FB2EEDA" w14:textId="71A9E6E5" w:rsidR="00B368B0" w:rsidRPr="001304D9" w:rsidRDefault="00B368B0">
            <w:pPr>
              <w:cnfStyle w:val="000000000000" w:firstRow="0" w:lastRow="0" w:firstColumn="0" w:lastColumn="0" w:oddVBand="0" w:evenVBand="0" w:oddHBand="0" w:evenHBand="0" w:firstRowFirstColumn="0" w:firstRowLastColumn="0" w:lastRowFirstColumn="0" w:lastRowLastColumn="0"/>
              <w:rPr>
                <w:rFonts w:cs="Arial Narrow"/>
                <w:color w:val="FF0000"/>
              </w:rPr>
            </w:pPr>
            <w:r w:rsidRPr="001304D9">
              <w:rPr>
                <w:rFonts w:cs="Arial Narrow"/>
                <w:color w:val="FF0000"/>
              </w:rPr>
              <w:t>&lt;Yes/No&gt;</w:t>
            </w:r>
          </w:p>
        </w:tc>
      </w:tr>
      <w:tr w:rsidR="00B368B0" w:rsidRPr="00E3664B" w14:paraId="5075760E" w14:textId="5E70FA52"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01BD265D" w14:textId="5FE4A5E8" w:rsidR="00B368B0" w:rsidRPr="009501D3" w:rsidRDefault="00B368B0" w:rsidP="003A083F">
            <w:r w:rsidRPr="005B5CAD">
              <w:t>Any National Park authority</w:t>
            </w:r>
            <w:r>
              <w:t xml:space="preserve"> </w:t>
            </w:r>
            <w:r w:rsidRPr="0017746E">
              <w:t>as appropriate</w:t>
            </w:r>
          </w:p>
        </w:tc>
        <w:tc>
          <w:tcPr>
            <w:tcW w:w="2228" w:type="pct"/>
          </w:tcPr>
          <w:p w14:paraId="2F3FFE52" w14:textId="61BDAFB6" w:rsidR="00B368B0" w:rsidRPr="009501D3" w:rsidRDefault="00B368B0">
            <w:pPr>
              <w:cnfStyle w:val="000000000000" w:firstRow="0" w:lastRow="0" w:firstColumn="0" w:lastColumn="0" w:oddVBand="0" w:evenVBand="0" w:oddHBand="0" w:evenHBand="0" w:firstRowFirstColumn="0" w:firstRowLastColumn="0" w:lastRowFirstColumn="0" w:lastRowLastColumn="0"/>
              <w:rPr>
                <w:color w:val="FF0000"/>
              </w:rPr>
            </w:pPr>
            <w:r w:rsidRPr="001304D9">
              <w:rPr>
                <w:rFonts w:cs="Arial Narrow"/>
                <w:color w:val="FF0000"/>
              </w:rPr>
              <w:t>&lt;Yes/No&gt;</w:t>
            </w:r>
          </w:p>
        </w:tc>
      </w:tr>
      <w:tr w:rsidR="00A27AB4" w:rsidRPr="00E3664B" w14:paraId="0BD8C709"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6B9DE14F" w14:textId="1E5E75B5" w:rsidR="00A27AB4" w:rsidRPr="005B5CAD" w:rsidRDefault="00A27AB4" w:rsidP="00A27AB4">
            <w:r>
              <w:t>The County Councils (if a District Council)</w:t>
            </w:r>
          </w:p>
        </w:tc>
        <w:tc>
          <w:tcPr>
            <w:tcW w:w="2228" w:type="pct"/>
          </w:tcPr>
          <w:p w14:paraId="22D977E1" w14:textId="28D65611" w:rsidR="00A27AB4" w:rsidRPr="001304D9" w:rsidRDefault="00A27AB4" w:rsidP="00A27AB4">
            <w:pPr>
              <w:cnfStyle w:val="000000000000" w:firstRow="0" w:lastRow="0" w:firstColumn="0" w:lastColumn="0" w:oddVBand="0" w:evenVBand="0" w:oddHBand="0" w:evenHBand="0" w:firstRowFirstColumn="0" w:firstRowLastColumn="0" w:lastRowFirstColumn="0" w:lastRowLastColumn="0"/>
              <w:rPr>
                <w:rFonts w:cs="Arial Narrow"/>
                <w:color w:val="FF0000"/>
              </w:rPr>
            </w:pPr>
            <w:r w:rsidRPr="001304D9">
              <w:rPr>
                <w:rFonts w:cs="Arial Narrow"/>
                <w:color w:val="FF0000"/>
              </w:rPr>
              <w:t>&lt;Yes/No&gt;</w:t>
            </w:r>
          </w:p>
        </w:tc>
      </w:tr>
      <w:tr w:rsidR="00B368B0" w:rsidRPr="00E3664B" w14:paraId="61686609" w14:textId="77777777"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302DB477" w14:textId="059D25F1" w:rsidR="00B368B0" w:rsidRDefault="00B368B0" w:rsidP="003A083F">
            <w:r>
              <w:lastRenderedPageBreak/>
              <w:t>O</w:t>
            </w:r>
            <w:r w:rsidRPr="009501D3">
              <w:t>ther public authorities as appropriate, such as Public Health officials</w:t>
            </w:r>
          </w:p>
        </w:tc>
        <w:tc>
          <w:tcPr>
            <w:tcW w:w="2228" w:type="pct"/>
          </w:tcPr>
          <w:p w14:paraId="64711611" w14:textId="42467AEE" w:rsidR="00B368B0" w:rsidRPr="001304D9" w:rsidRDefault="00B368B0">
            <w:pPr>
              <w:cnfStyle w:val="000000000000" w:firstRow="0" w:lastRow="0" w:firstColumn="0" w:lastColumn="0" w:oddVBand="0" w:evenVBand="0" w:oddHBand="0" w:evenHBand="0" w:firstRowFirstColumn="0" w:firstRowLastColumn="0" w:lastRowFirstColumn="0" w:lastRowLastColumn="0"/>
              <w:rPr>
                <w:rFonts w:cs="Arial Narrow"/>
                <w:color w:val="FF0000"/>
              </w:rPr>
            </w:pPr>
            <w:r w:rsidRPr="001304D9">
              <w:rPr>
                <w:rFonts w:cs="Arial Narrow"/>
                <w:color w:val="FF0000"/>
              </w:rPr>
              <w:t>&lt;Yes/No&gt;</w:t>
            </w:r>
          </w:p>
        </w:tc>
      </w:tr>
      <w:tr w:rsidR="00B368B0" w:rsidRPr="00E3664B" w14:paraId="7DB44F2E" w14:textId="450C6429" w:rsidTr="4D6AC012">
        <w:trPr>
          <w:trHeight w:val="552"/>
        </w:trPr>
        <w:tc>
          <w:tcPr>
            <w:cnfStyle w:val="001000000000" w:firstRow="0" w:lastRow="0" w:firstColumn="1" w:lastColumn="0" w:oddVBand="0" w:evenVBand="0" w:oddHBand="0" w:evenHBand="0" w:firstRowFirstColumn="0" w:firstRowLastColumn="0" w:lastRowFirstColumn="0" w:lastRowLastColumn="0"/>
            <w:tcW w:w="2772" w:type="pct"/>
          </w:tcPr>
          <w:p w14:paraId="1840817D" w14:textId="4B1ABDA7" w:rsidR="00B368B0" w:rsidRPr="009501D3" w:rsidRDefault="00B368B0" w:rsidP="003A083F">
            <w:r>
              <w:t>B</w:t>
            </w:r>
            <w:r w:rsidRPr="009501D3">
              <w:t>odies representing local business interests and other organisations as appropriate</w:t>
            </w:r>
          </w:p>
        </w:tc>
        <w:tc>
          <w:tcPr>
            <w:tcW w:w="2228" w:type="pct"/>
          </w:tcPr>
          <w:p w14:paraId="076B409B" w14:textId="5BEA8768" w:rsidR="00B368B0" w:rsidRPr="009501D3" w:rsidRDefault="00B368B0">
            <w:pPr>
              <w:cnfStyle w:val="000000000000" w:firstRow="0" w:lastRow="0" w:firstColumn="0" w:lastColumn="0" w:oddVBand="0" w:evenVBand="0" w:oddHBand="0" w:evenHBand="0" w:firstRowFirstColumn="0" w:firstRowLastColumn="0" w:lastRowFirstColumn="0" w:lastRowLastColumn="0"/>
              <w:rPr>
                <w:color w:val="FF0000"/>
              </w:rPr>
            </w:pPr>
            <w:r w:rsidRPr="001304D9">
              <w:rPr>
                <w:rFonts w:cs="Arial Narrow"/>
                <w:color w:val="FF0000"/>
              </w:rPr>
              <w:t>&lt;Yes/No&gt;</w:t>
            </w:r>
          </w:p>
        </w:tc>
      </w:tr>
    </w:tbl>
    <w:p w14:paraId="2339D1E4" w14:textId="77777777" w:rsidR="001B1413" w:rsidRPr="002B4B5B" w:rsidRDefault="001B1413" w:rsidP="00E351DA">
      <w:pPr>
        <w:pStyle w:val="Heading2"/>
        <w:numPr>
          <w:ilvl w:val="1"/>
          <w:numId w:val="11"/>
        </w:numPr>
      </w:pPr>
      <w:bookmarkStart w:id="106" w:name="_Toc418595846"/>
      <w:bookmarkStart w:id="107" w:name="_Toc88486003"/>
      <w:bookmarkStart w:id="108" w:name="_Toc141346897"/>
      <w:bookmarkStart w:id="109" w:name="_Toc222131875"/>
      <w:r w:rsidRPr="002B4B5B">
        <w:t>Steering Group</w:t>
      </w:r>
      <w:bookmarkEnd w:id="106"/>
      <w:bookmarkEnd w:id="107"/>
      <w:bookmarkEnd w:id="108"/>
      <w:bookmarkEnd w:id="109"/>
    </w:p>
    <w:p w14:paraId="1D156A0A" w14:textId="77777777" w:rsidR="00C06D0A" w:rsidRDefault="00E97D24" w:rsidP="0005447E">
      <w:r>
        <w:t>A steering group was established at the start of the update process to drive forward the development of the new AQAP. The core aim of the steering group was to identify measures for inclusion within the AQAP that would be effective both in terms of reducing NO</w:t>
      </w:r>
      <w:r w:rsidRPr="00E97D24">
        <w:rPr>
          <w:vertAlign w:val="subscript"/>
        </w:rPr>
        <w:t>2</w:t>
      </w:r>
      <w:r>
        <w:t xml:space="preserve"> concentrations and also feasible in terms of implementation and delivery. </w:t>
      </w:r>
    </w:p>
    <w:p w14:paraId="1478636B" w14:textId="1597B433" w:rsidR="00552ECC" w:rsidRDefault="00E97D24" w:rsidP="0005447E">
      <w:r>
        <w:t xml:space="preserve">An AQAP steering group was held on 12/09/2025. Measures identified in </w:t>
      </w:r>
      <w:r>
        <w:fldChar w:fldCharType="begin"/>
      </w:r>
      <w:r>
        <w:instrText xml:space="preserve"> REF _Ref444770859 \h </w:instrText>
      </w:r>
      <w:r>
        <w:fldChar w:fldCharType="separate"/>
      </w:r>
      <w:r w:rsidRPr="00E3664B">
        <w:t xml:space="preserve">Table </w:t>
      </w:r>
      <w:r>
        <w:rPr>
          <w:noProof/>
        </w:rPr>
        <w:t>5</w:t>
      </w:r>
      <w:r>
        <w:t>.</w:t>
      </w:r>
      <w:r>
        <w:rPr>
          <w:noProof/>
        </w:rPr>
        <w:t>1</w:t>
      </w:r>
      <w:r>
        <w:fldChar w:fldCharType="end"/>
      </w:r>
      <w:r>
        <w:t xml:space="preserve"> were discussed and examined. </w:t>
      </w:r>
      <w:r w:rsidR="00552ECC">
        <w:t>Attendees were from:</w:t>
      </w:r>
    </w:p>
    <w:p w14:paraId="0DB99EE4" w14:textId="20F2434E" w:rsidR="00552ECC" w:rsidRDefault="00552ECC" w:rsidP="00552ECC">
      <w:pPr>
        <w:pStyle w:val="ListParagraph"/>
        <w:numPr>
          <w:ilvl w:val="0"/>
          <w:numId w:val="43"/>
        </w:numPr>
      </w:pPr>
      <w:r>
        <w:t xml:space="preserve">Newcastle City Council Public Safety and Regulation; </w:t>
      </w:r>
    </w:p>
    <w:p w14:paraId="7EA51941" w14:textId="77777777" w:rsidR="00552ECC" w:rsidRDefault="00552ECC" w:rsidP="00552ECC">
      <w:pPr>
        <w:pStyle w:val="ListParagraph"/>
        <w:numPr>
          <w:ilvl w:val="0"/>
          <w:numId w:val="43"/>
        </w:numPr>
      </w:pPr>
      <w:r>
        <w:t>North East Combined Authority (NECA);</w:t>
      </w:r>
    </w:p>
    <w:p w14:paraId="09D2C183" w14:textId="77777777" w:rsidR="00552ECC" w:rsidRDefault="00552ECC" w:rsidP="00552ECC">
      <w:pPr>
        <w:pStyle w:val="ListParagraph"/>
        <w:numPr>
          <w:ilvl w:val="0"/>
          <w:numId w:val="43"/>
        </w:numPr>
      </w:pPr>
      <w:r>
        <w:t>Newcastle City Council Transport Planning;</w:t>
      </w:r>
    </w:p>
    <w:p w14:paraId="01A010AA" w14:textId="77777777" w:rsidR="00552ECC" w:rsidRDefault="00552ECC" w:rsidP="00552ECC">
      <w:pPr>
        <w:pStyle w:val="ListParagraph"/>
        <w:numPr>
          <w:ilvl w:val="0"/>
          <w:numId w:val="43"/>
        </w:numPr>
      </w:pPr>
      <w:r>
        <w:t>Newcastle City Council City Transport;</w:t>
      </w:r>
    </w:p>
    <w:p w14:paraId="079A1D57" w14:textId="74B9BF68" w:rsidR="00552ECC" w:rsidRDefault="00552ECC" w:rsidP="00552ECC">
      <w:pPr>
        <w:pStyle w:val="ListParagraph"/>
        <w:numPr>
          <w:ilvl w:val="0"/>
          <w:numId w:val="43"/>
        </w:numPr>
      </w:pPr>
      <w:r>
        <w:t>Newcastle City Council Policy;</w:t>
      </w:r>
      <w:r w:rsidR="00067F7E">
        <w:t xml:space="preserve"> and</w:t>
      </w:r>
    </w:p>
    <w:p w14:paraId="52CACF6A" w14:textId="73203032" w:rsidR="00552ECC" w:rsidRDefault="00552ECC" w:rsidP="00552ECC">
      <w:pPr>
        <w:pStyle w:val="ListParagraph"/>
        <w:numPr>
          <w:ilvl w:val="0"/>
          <w:numId w:val="43"/>
        </w:numPr>
      </w:pPr>
      <w:r>
        <w:t>Newcastle City Council Capital Investment and Growth</w:t>
      </w:r>
      <w:r w:rsidR="00067F7E">
        <w:t>.</w:t>
      </w:r>
    </w:p>
    <w:p w14:paraId="74E9846B" w14:textId="77777777" w:rsidR="0036592D" w:rsidRDefault="0036592D">
      <w:pPr>
        <w:spacing w:before="0" w:after="0" w:line="240" w:lineRule="auto"/>
        <w:rPr>
          <w:b/>
          <w:bCs/>
          <w:color w:val="006726"/>
          <w:kern w:val="32"/>
          <w:sz w:val="40"/>
          <w:szCs w:val="32"/>
        </w:rPr>
      </w:pPr>
      <w:bookmarkStart w:id="110" w:name="_Toc88486004"/>
      <w:bookmarkStart w:id="111" w:name="_Toc141346898"/>
      <w:r>
        <w:br w:type="page"/>
      </w:r>
    </w:p>
    <w:p w14:paraId="4BCC8195" w14:textId="4AF35AA7" w:rsidR="001B1413" w:rsidRPr="00E3664B" w:rsidRDefault="001B1413" w:rsidP="000E0C77">
      <w:pPr>
        <w:pStyle w:val="Heading1"/>
      </w:pPr>
      <w:bookmarkStart w:id="112" w:name="_Toc222131876"/>
      <w:r w:rsidRPr="00E3664B">
        <w:lastRenderedPageBreak/>
        <w:t xml:space="preserve">AQAP </w:t>
      </w:r>
      <w:r w:rsidR="003B3BB8" w:rsidRPr="00E3664B">
        <w:t>Measures</w:t>
      </w:r>
      <w:bookmarkEnd w:id="110"/>
      <w:bookmarkEnd w:id="111"/>
      <w:bookmarkEnd w:id="112"/>
    </w:p>
    <w:p w14:paraId="7F9418C0" w14:textId="2F87AEB4" w:rsidR="001B1413" w:rsidRPr="00E3664B" w:rsidRDefault="002B4B5B" w:rsidP="00032FC9">
      <w:r>
        <w:fldChar w:fldCharType="begin"/>
      </w:r>
      <w:r>
        <w:instrText xml:space="preserve"> REF _Ref444770859 \h </w:instrText>
      </w:r>
      <w:r w:rsidR="0046508E">
        <w:instrText xml:space="preserve"> \* MERGEFORMAT </w:instrText>
      </w:r>
      <w:r>
        <w:fldChar w:fldCharType="separate"/>
      </w:r>
      <w:r w:rsidR="00133517" w:rsidRPr="00E3664B">
        <w:t xml:space="preserve">Table </w:t>
      </w:r>
      <w:r w:rsidR="00133517">
        <w:rPr>
          <w:noProof/>
        </w:rPr>
        <w:t>5.2</w:t>
      </w:r>
      <w:r>
        <w:fldChar w:fldCharType="end"/>
      </w:r>
      <w:r w:rsidR="005214E4">
        <w:t>, later in this section</w:t>
      </w:r>
      <w:r>
        <w:t xml:space="preserve"> </w:t>
      </w:r>
      <w:r w:rsidR="001B1413" w:rsidRPr="00E3664B">
        <w:t>shows the</w:t>
      </w:r>
      <w:r w:rsidR="0049050B">
        <w:t xml:space="preserve"> Newcastle City Council</w:t>
      </w:r>
      <w:r w:rsidR="001B1413" w:rsidRPr="00E3664B">
        <w:t xml:space="preserve"> AQAP</w:t>
      </w:r>
      <w:r w:rsidR="003B3BB8" w:rsidRPr="00E3664B">
        <w:t xml:space="preserve"> measures</w:t>
      </w:r>
      <w:r w:rsidR="001B1413" w:rsidRPr="00E3664B">
        <w:t>. It contains:</w:t>
      </w:r>
    </w:p>
    <w:p w14:paraId="6F8685F8" w14:textId="5B873DBD" w:rsidR="001B1413" w:rsidRPr="00E3664B" w:rsidRDefault="00C4273F" w:rsidP="00E351DA">
      <w:pPr>
        <w:numPr>
          <w:ilvl w:val="0"/>
          <w:numId w:val="9"/>
        </w:numPr>
        <w:rPr>
          <w:rFonts w:cs="Arial"/>
        </w:rPr>
      </w:pPr>
      <w:r>
        <w:rPr>
          <w:rFonts w:cs="Arial"/>
        </w:rPr>
        <w:t>A</w:t>
      </w:r>
      <w:r w:rsidR="001B1413" w:rsidRPr="00E3664B">
        <w:rPr>
          <w:rFonts w:cs="Arial"/>
        </w:rPr>
        <w:t xml:space="preserve"> list of the actions that form part of the plan</w:t>
      </w:r>
      <w:r>
        <w:rPr>
          <w:rFonts w:cs="Arial"/>
        </w:rPr>
        <w:t>;</w:t>
      </w:r>
    </w:p>
    <w:p w14:paraId="16CE5DA1" w14:textId="6E5853D9" w:rsidR="001B1413" w:rsidRPr="00E3664B" w:rsidRDefault="00C4273F" w:rsidP="00E351DA">
      <w:pPr>
        <w:numPr>
          <w:ilvl w:val="0"/>
          <w:numId w:val="9"/>
        </w:numPr>
        <w:rPr>
          <w:rFonts w:cs="Arial"/>
        </w:rPr>
      </w:pPr>
      <w:r>
        <w:rPr>
          <w:rFonts w:cs="Arial"/>
        </w:rPr>
        <w:t>T</w:t>
      </w:r>
      <w:r w:rsidR="001B1413" w:rsidRPr="00E3664B">
        <w:rPr>
          <w:rFonts w:cs="Arial"/>
        </w:rPr>
        <w:t xml:space="preserve">he departments/organisations </w:t>
      </w:r>
      <w:r w:rsidR="00D80F9A">
        <w:rPr>
          <w:rFonts w:cs="Arial"/>
        </w:rPr>
        <w:t xml:space="preserve">responsible for </w:t>
      </w:r>
      <w:r w:rsidR="001B1413" w:rsidRPr="00E3664B">
        <w:rPr>
          <w:rFonts w:cs="Arial"/>
        </w:rPr>
        <w:t>deliver</w:t>
      </w:r>
      <w:r w:rsidR="00D80F9A">
        <w:rPr>
          <w:rFonts w:cs="Arial"/>
        </w:rPr>
        <w:t>ing</w:t>
      </w:r>
      <w:r w:rsidR="001B1413" w:rsidRPr="00E3664B">
        <w:rPr>
          <w:rFonts w:cs="Arial"/>
        </w:rPr>
        <w:t xml:space="preserve"> this action</w:t>
      </w:r>
      <w:r>
        <w:rPr>
          <w:rFonts w:cs="Arial"/>
        </w:rPr>
        <w:t>;</w:t>
      </w:r>
    </w:p>
    <w:p w14:paraId="05EA9793" w14:textId="4D95A404" w:rsidR="001B1413" w:rsidRPr="00E3664B" w:rsidRDefault="00C4273F" w:rsidP="00E351DA">
      <w:pPr>
        <w:numPr>
          <w:ilvl w:val="0"/>
          <w:numId w:val="9"/>
        </w:numPr>
        <w:rPr>
          <w:rFonts w:cs="Arial"/>
        </w:rPr>
      </w:pPr>
      <w:r>
        <w:rPr>
          <w:rFonts w:cs="Arial"/>
        </w:rPr>
        <w:t>E</w:t>
      </w:r>
      <w:r w:rsidR="001B1413" w:rsidRPr="00E3664B">
        <w:rPr>
          <w:rFonts w:cs="Arial"/>
        </w:rPr>
        <w:t xml:space="preserve">stimated cost </w:t>
      </w:r>
      <w:r w:rsidR="009321C6">
        <w:rPr>
          <w:rFonts w:cs="Arial"/>
        </w:rPr>
        <w:t>of implementing each action</w:t>
      </w:r>
      <w:r>
        <w:rPr>
          <w:rFonts w:cs="Arial"/>
        </w:rPr>
        <w:t>;</w:t>
      </w:r>
    </w:p>
    <w:p w14:paraId="13C58AB7" w14:textId="00C214C9" w:rsidR="001B1413" w:rsidRPr="00E3664B" w:rsidRDefault="00C4273F" w:rsidP="00E351DA">
      <w:pPr>
        <w:numPr>
          <w:ilvl w:val="0"/>
          <w:numId w:val="9"/>
        </w:numPr>
        <w:rPr>
          <w:rFonts w:cs="Arial"/>
        </w:rPr>
      </w:pPr>
      <w:r>
        <w:rPr>
          <w:rFonts w:cs="Arial"/>
        </w:rPr>
        <w:t>E</w:t>
      </w:r>
      <w:r w:rsidR="001B1413" w:rsidRPr="00E3664B">
        <w:rPr>
          <w:rFonts w:cs="Arial"/>
        </w:rPr>
        <w:t xml:space="preserve">xpected benefit in terms of </w:t>
      </w:r>
      <w:r w:rsidR="003B3BB8" w:rsidRPr="00E3664B">
        <w:rPr>
          <w:rFonts w:cs="Arial"/>
        </w:rPr>
        <w:t>pollutant emission</w:t>
      </w:r>
      <w:r w:rsidR="001B1413" w:rsidRPr="00E3664B">
        <w:rPr>
          <w:rFonts w:cs="Arial"/>
        </w:rPr>
        <w:t xml:space="preserve"> </w:t>
      </w:r>
      <w:r w:rsidR="003B3BB8" w:rsidRPr="00E3664B">
        <w:rPr>
          <w:rFonts w:cs="Arial"/>
        </w:rPr>
        <w:t>and/or</w:t>
      </w:r>
      <w:r w:rsidR="001B1413" w:rsidRPr="00E3664B">
        <w:rPr>
          <w:rFonts w:cs="Arial"/>
        </w:rPr>
        <w:t xml:space="preserve"> concentration reduction</w:t>
      </w:r>
      <w:r>
        <w:rPr>
          <w:rFonts w:cs="Arial"/>
        </w:rPr>
        <w:t>;</w:t>
      </w:r>
    </w:p>
    <w:p w14:paraId="1C675DAF" w14:textId="30A402A4" w:rsidR="001B1413" w:rsidRPr="00E3664B" w:rsidRDefault="00C4273F" w:rsidP="00E351DA">
      <w:pPr>
        <w:numPr>
          <w:ilvl w:val="0"/>
          <w:numId w:val="9"/>
        </w:numPr>
        <w:rPr>
          <w:rFonts w:cs="Arial"/>
        </w:rPr>
      </w:pPr>
      <w:r>
        <w:rPr>
          <w:rFonts w:cs="Arial"/>
        </w:rPr>
        <w:t>T</w:t>
      </w:r>
      <w:r w:rsidR="001B1413" w:rsidRPr="00E3664B">
        <w:rPr>
          <w:rFonts w:cs="Arial"/>
        </w:rPr>
        <w:t>he timescale for implementation</w:t>
      </w:r>
      <w:r>
        <w:rPr>
          <w:rFonts w:cs="Arial"/>
        </w:rPr>
        <w:t>; and</w:t>
      </w:r>
    </w:p>
    <w:p w14:paraId="4481B5D3" w14:textId="1F061A15" w:rsidR="00360F4A" w:rsidRPr="0003309B" w:rsidRDefault="00C4273F" w:rsidP="00E351DA">
      <w:pPr>
        <w:numPr>
          <w:ilvl w:val="0"/>
          <w:numId w:val="9"/>
        </w:numPr>
        <w:rPr>
          <w:rFonts w:cs="Arial"/>
        </w:rPr>
      </w:pPr>
      <w:r>
        <w:rPr>
          <w:rFonts w:cs="Arial"/>
        </w:rPr>
        <w:t>H</w:t>
      </w:r>
      <w:r w:rsidR="001B1413" w:rsidRPr="00E3664B">
        <w:rPr>
          <w:rFonts w:cs="Arial"/>
        </w:rPr>
        <w:t>ow progress will be monitored</w:t>
      </w:r>
      <w:r>
        <w:rPr>
          <w:rFonts w:cs="Arial"/>
        </w:rPr>
        <w:t>.</w:t>
      </w:r>
    </w:p>
    <w:p w14:paraId="3F2942C8" w14:textId="7012F26D" w:rsidR="001B1413" w:rsidRDefault="002B4B5B" w:rsidP="00032FC9">
      <w:pPr>
        <w:rPr>
          <w:rFonts w:cs="Arial"/>
        </w:rPr>
      </w:pPr>
      <w:r>
        <w:rPr>
          <w:rFonts w:cs="Arial"/>
          <w:b/>
        </w:rPr>
        <w:t>NB:</w:t>
      </w:r>
      <w:r>
        <w:rPr>
          <w:rFonts w:cs="Arial"/>
        </w:rPr>
        <w:t xml:space="preserve"> </w:t>
      </w:r>
      <w:r w:rsidR="00360F4A" w:rsidRPr="00360F4A">
        <w:rPr>
          <w:rFonts w:cs="Arial"/>
        </w:rPr>
        <w:t xml:space="preserve">Please see future </w:t>
      </w:r>
      <w:r w:rsidR="00C373CF">
        <w:rPr>
          <w:rFonts w:cs="Arial"/>
        </w:rPr>
        <w:t>Annual Status Reports (</w:t>
      </w:r>
      <w:r w:rsidR="00360F4A" w:rsidRPr="00360F4A">
        <w:rPr>
          <w:rFonts w:cs="Arial"/>
        </w:rPr>
        <w:t>ASRs</w:t>
      </w:r>
      <w:r w:rsidR="00C373CF">
        <w:rPr>
          <w:rFonts w:cs="Arial"/>
        </w:rPr>
        <w:t>)</w:t>
      </w:r>
      <w:r w:rsidR="00360F4A" w:rsidRPr="00360F4A">
        <w:rPr>
          <w:rFonts w:cs="Arial"/>
        </w:rPr>
        <w:t xml:space="preserve"> for regular annual updates on implementation of these measures</w:t>
      </w:r>
      <w:r w:rsidR="00ED46EC">
        <w:rPr>
          <w:rFonts w:cs="Arial"/>
        </w:rPr>
        <w:t>.</w:t>
      </w:r>
    </w:p>
    <w:p w14:paraId="3DC9E6E8" w14:textId="1BDEDDFF" w:rsidR="00C5316D" w:rsidRDefault="00462A09" w:rsidP="00C5316D">
      <w:r w:rsidRPr="00DF643F">
        <w:rPr>
          <w:rFonts w:cs="Arial"/>
        </w:rPr>
        <w:t>Further information on the cost-benefit analysis of these measures is provided below.</w:t>
      </w:r>
    </w:p>
    <w:p w14:paraId="30D08CF4" w14:textId="4E63EE40" w:rsidR="00462A09" w:rsidRDefault="00462A09" w:rsidP="00462A09">
      <w:pPr>
        <w:pStyle w:val="Heading2"/>
        <w:numPr>
          <w:ilvl w:val="1"/>
          <w:numId w:val="11"/>
        </w:numPr>
      </w:pPr>
      <w:bookmarkStart w:id="113" w:name="_Toc222131877"/>
      <w:r>
        <w:t>Cost Benefit Analysis</w:t>
      </w:r>
      <w:bookmarkEnd w:id="113"/>
    </w:p>
    <w:p w14:paraId="04ABC292" w14:textId="206E1D6A" w:rsidR="00462A09" w:rsidRDefault="00462A09" w:rsidP="00C5316D">
      <w:r>
        <w:t xml:space="preserve">A long list of potential measures was drawn up based upon the key priorities, previous work undertaken by the Council, and the priorities of Steering Group members. </w:t>
      </w:r>
    </w:p>
    <w:p w14:paraId="65CD6F73" w14:textId="4FF7526F" w:rsidR="009F7448" w:rsidRDefault="00462A09" w:rsidP="00C5316D">
      <w:r>
        <w:t xml:space="preserve">A cost </w:t>
      </w:r>
      <w:r w:rsidR="009F7448">
        <w:t>benefit analysis</w:t>
      </w:r>
      <w:r>
        <w:t xml:space="preserve"> was carried out for the short list of actions</w:t>
      </w:r>
      <w:r w:rsidR="009F7448">
        <w:t>. Four aspects were considered in this analysis:</w:t>
      </w:r>
    </w:p>
    <w:p w14:paraId="795558AD" w14:textId="77777777" w:rsidR="009F7448" w:rsidRPr="009F7448" w:rsidRDefault="009F7448" w:rsidP="009F7448">
      <w:pPr>
        <w:numPr>
          <w:ilvl w:val="0"/>
          <w:numId w:val="9"/>
        </w:numPr>
      </w:pPr>
      <w:r w:rsidRPr="009F7448">
        <w:t>The feasibility of carrying out the action, i.e. is there likely to be public or internal support, is there an available funding source.</w:t>
      </w:r>
    </w:p>
    <w:p w14:paraId="5A37CC53" w14:textId="77777777" w:rsidR="009F7448" w:rsidRPr="009F7448" w:rsidRDefault="009F7448" w:rsidP="009F7448">
      <w:pPr>
        <w:numPr>
          <w:ilvl w:val="0"/>
          <w:numId w:val="9"/>
        </w:numPr>
      </w:pPr>
      <w:r w:rsidRPr="009F7448">
        <w:t>The air quality impact of the action, i.e. how large of an impact could this measure have on concentrations of pollutants on a local and/or regional level. This is based on professional judgement and a review of available literature where possible.</w:t>
      </w:r>
    </w:p>
    <w:p w14:paraId="29A66026" w14:textId="77777777" w:rsidR="009F7448" w:rsidRPr="009F7448" w:rsidRDefault="009F7448" w:rsidP="009F7448">
      <w:pPr>
        <w:numPr>
          <w:ilvl w:val="0"/>
          <w:numId w:val="9"/>
        </w:numPr>
      </w:pPr>
      <w:r w:rsidRPr="009F7448">
        <w:t>Any co-benefits arising from this action, i.e. are there also benefits for public health, active travel, climate, the economy, or society more widely; and</w:t>
      </w:r>
    </w:p>
    <w:p w14:paraId="4BEAC654" w14:textId="6F27CD44" w:rsidR="009F7448" w:rsidRDefault="009F7448" w:rsidP="00DF643F">
      <w:pPr>
        <w:numPr>
          <w:ilvl w:val="0"/>
          <w:numId w:val="9"/>
        </w:numPr>
      </w:pPr>
      <w:r w:rsidRPr="009F7448">
        <w:t>High level assessment of the cost of this action.</w:t>
      </w:r>
    </w:p>
    <w:p w14:paraId="50838FD9" w14:textId="4AAF7488" w:rsidR="009F7448" w:rsidRDefault="009F7448" w:rsidP="00C5316D">
      <w:r>
        <w:lastRenderedPageBreak/>
        <w:t>Each aspect was rated from 1 to 3, where 1 is low and 3 is high and then the following equation was applied to calculate a total score for each measure:</w:t>
      </w:r>
    </w:p>
    <w:p w14:paraId="29A58FD7" w14:textId="77777777" w:rsidR="009F7448" w:rsidRDefault="009F7448" w:rsidP="00C5316D">
      <w:r>
        <w:t>Score = (feasibility + (2 x air quality impact) + co-benefits) x cost</w:t>
      </w:r>
    </w:p>
    <w:p w14:paraId="55B88B1A" w14:textId="7D0B43EF" w:rsidR="009F7448" w:rsidRDefault="009F7448" w:rsidP="00C5316D">
      <w:r>
        <w:t>The air quality impact of the action was double rated compared to feasibility and co-benefits as this is the primary focus of the AQAP.</w:t>
      </w:r>
    </w:p>
    <w:p w14:paraId="4F436427" w14:textId="77777777" w:rsidR="009F7448" w:rsidRDefault="009F7448" w:rsidP="00C5316D">
      <w:r>
        <w:t xml:space="preserve">For the scoring of the cost, the following categories were used: less than </w:t>
      </w:r>
      <w:r w:rsidRPr="009F7448">
        <w:t>£10,000, between £10,000 and £100,000, and greater than £100,000.</w:t>
      </w:r>
    </w:p>
    <w:p w14:paraId="76924351" w14:textId="5E223B26" w:rsidR="009F7448" w:rsidRDefault="009F7448" w:rsidP="00C5316D">
      <w:r>
        <w:t xml:space="preserve">The short list measures and their scores are presented in </w:t>
      </w:r>
      <w:r w:rsidR="00014E1E">
        <w:fldChar w:fldCharType="begin"/>
      </w:r>
      <w:r w:rsidR="00014E1E">
        <w:instrText xml:space="preserve"> REF _Ref210915527 \h </w:instrText>
      </w:r>
      <w:r w:rsidR="00014E1E">
        <w:fldChar w:fldCharType="separate"/>
      </w:r>
      <w:r w:rsidR="00014E1E" w:rsidRPr="00E3664B">
        <w:t xml:space="preserve">Table </w:t>
      </w:r>
      <w:r w:rsidR="00014E1E">
        <w:rPr>
          <w:noProof/>
        </w:rPr>
        <w:t>5</w:t>
      </w:r>
      <w:r w:rsidR="00014E1E">
        <w:t>.</w:t>
      </w:r>
      <w:r w:rsidR="00014E1E">
        <w:rPr>
          <w:noProof/>
        </w:rPr>
        <w:t>1</w:t>
      </w:r>
      <w:r w:rsidR="00014E1E">
        <w:fldChar w:fldCharType="end"/>
      </w:r>
      <w:r>
        <w:t>. Further information on the measures not taken forward and the reasoning for that are provided in Appendix B.</w:t>
      </w:r>
    </w:p>
    <w:p w14:paraId="31B2FD4C" w14:textId="51A61ABA" w:rsidR="00C050E2" w:rsidRDefault="00C050E2" w:rsidP="00DF643F">
      <w:pPr>
        <w:pStyle w:val="Caption"/>
      </w:pPr>
      <w:bookmarkStart w:id="114" w:name="_Ref210915527"/>
      <w:bookmarkStart w:id="115" w:name="_Toc222131904"/>
      <w:r w:rsidRPr="00E3664B">
        <w:t xml:space="preserve">Table </w:t>
      </w:r>
      <w:r>
        <w:fldChar w:fldCharType="begin"/>
      </w:r>
      <w:r>
        <w:instrText>STYLEREF 1 \s</w:instrText>
      </w:r>
      <w:r>
        <w:fldChar w:fldCharType="separate"/>
      </w:r>
      <w:r>
        <w:rPr>
          <w:noProof/>
        </w:rPr>
        <w:t>5</w:t>
      </w:r>
      <w:r>
        <w:fldChar w:fldCharType="end"/>
      </w:r>
      <w:r>
        <w:t>.</w:t>
      </w:r>
      <w:r>
        <w:fldChar w:fldCharType="begin"/>
      </w:r>
      <w:r>
        <w:instrText>SEQ Table \* ARABIC \s 1</w:instrText>
      </w:r>
      <w:r>
        <w:fldChar w:fldCharType="separate"/>
      </w:r>
      <w:r>
        <w:rPr>
          <w:noProof/>
        </w:rPr>
        <w:t>1</w:t>
      </w:r>
      <w:r>
        <w:fldChar w:fldCharType="end"/>
      </w:r>
      <w:bookmarkEnd w:id="114"/>
      <w:r w:rsidRPr="00E3664B">
        <w:t xml:space="preserve"> </w:t>
      </w:r>
      <w:r w:rsidRPr="00BE428E">
        <w:t>‒</w:t>
      </w:r>
      <w:r w:rsidRPr="00E3664B">
        <w:t xml:space="preserve"> </w:t>
      </w:r>
      <w:r w:rsidRPr="00C050E2">
        <w:t>Cost</w:t>
      </w:r>
      <w:r>
        <w:t xml:space="preserve"> Benefit Analysis of </w:t>
      </w:r>
      <w:r w:rsidR="00445EAC">
        <w:t>short-listed</w:t>
      </w:r>
      <w:r>
        <w:t xml:space="preserve"> actions</w:t>
      </w:r>
      <w:bookmarkEnd w:id="115"/>
    </w:p>
    <w:tbl>
      <w:tblPr>
        <w:tblStyle w:val="TableStyle4"/>
        <w:tblW w:w="5000" w:type="pct"/>
        <w:tblLook w:val="04A0" w:firstRow="1" w:lastRow="0" w:firstColumn="1" w:lastColumn="0" w:noHBand="0" w:noVBand="1"/>
      </w:tblPr>
      <w:tblGrid>
        <w:gridCol w:w="883"/>
        <w:gridCol w:w="3021"/>
        <w:gridCol w:w="747"/>
        <w:gridCol w:w="882"/>
        <w:gridCol w:w="882"/>
        <w:gridCol w:w="882"/>
        <w:gridCol w:w="882"/>
        <w:gridCol w:w="881"/>
      </w:tblGrid>
      <w:tr w:rsidR="00B36E5F" w:rsidRPr="004C3EB4" w14:paraId="45542685" w14:textId="77777777" w:rsidTr="00E84693">
        <w:trPr>
          <w:cnfStyle w:val="100000000000" w:firstRow="1" w:lastRow="0" w:firstColumn="0" w:lastColumn="0" w:oddVBand="0" w:evenVBand="0" w:oddHBand="0" w:evenHBand="0" w:firstRowFirstColumn="0" w:firstRowLastColumn="0" w:lastRowFirstColumn="0" w:lastRowLastColumn="0"/>
          <w:trHeight w:val="1511"/>
          <w:tblHeader/>
        </w:trPr>
        <w:tc>
          <w:tcPr>
            <w:cnfStyle w:val="001000000000" w:firstRow="0" w:lastRow="0" w:firstColumn="1" w:lastColumn="0" w:oddVBand="0" w:evenVBand="0" w:oddHBand="0" w:evenHBand="0" w:firstRowFirstColumn="0" w:firstRowLastColumn="0" w:lastRowFirstColumn="0" w:lastRowLastColumn="0"/>
            <w:tcW w:w="487" w:type="pct"/>
            <w:shd w:val="clear" w:color="auto" w:fill="006726"/>
            <w:noWrap/>
            <w:textDirection w:val="btLr"/>
            <w:hideMark/>
          </w:tcPr>
          <w:p w14:paraId="08C7FBDC" w14:textId="77777777" w:rsidR="00C050E2" w:rsidRPr="00AF53DA" w:rsidRDefault="00C050E2" w:rsidP="00587936">
            <w:pPr>
              <w:ind w:left="113" w:right="113"/>
              <w:rPr>
                <w:rFonts w:cs="Arial"/>
              </w:rPr>
            </w:pPr>
            <w:r w:rsidRPr="00AF53DA">
              <w:rPr>
                <w:rFonts w:cs="Arial"/>
              </w:rPr>
              <w:t>Number </w:t>
            </w:r>
          </w:p>
        </w:tc>
        <w:tc>
          <w:tcPr>
            <w:tcW w:w="1667" w:type="pct"/>
            <w:shd w:val="clear" w:color="auto" w:fill="006726"/>
            <w:textDirection w:val="btLr"/>
            <w:hideMark/>
          </w:tcPr>
          <w:p w14:paraId="7B15D3E0"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8252D3">
              <w:rPr>
                <w:rFonts w:cs="Arial"/>
              </w:rPr>
              <w:t>M</w:t>
            </w:r>
            <w:r w:rsidRPr="00AF53DA">
              <w:rPr>
                <w:rFonts w:cs="Arial"/>
              </w:rPr>
              <w:t>easure</w:t>
            </w:r>
          </w:p>
        </w:tc>
        <w:tc>
          <w:tcPr>
            <w:tcW w:w="412" w:type="pct"/>
            <w:shd w:val="clear" w:color="auto" w:fill="006726"/>
            <w:textDirection w:val="btLr"/>
            <w:hideMark/>
          </w:tcPr>
          <w:p w14:paraId="0F6E37FB"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Feasibility</w:t>
            </w:r>
          </w:p>
        </w:tc>
        <w:tc>
          <w:tcPr>
            <w:tcW w:w="487" w:type="pct"/>
            <w:shd w:val="clear" w:color="auto" w:fill="006726"/>
            <w:textDirection w:val="btLr"/>
            <w:hideMark/>
          </w:tcPr>
          <w:p w14:paraId="1266588D"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 xml:space="preserve">AQ impact </w:t>
            </w:r>
          </w:p>
        </w:tc>
        <w:tc>
          <w:tcPr>
            <w:tcW w:w="487" w:type="pct"/>
            <w:shd w:val="clear" w:color="auto" w:fill="006726"/>
            <w:textDirection w:val="btLr"/>
            <w:hideMark/>
          </w:tcPr>
          <w:p w14:paraId="7B5FCDD2"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Co benefit</w:t>
            </w:r>
          </w:p>
        </w:tc>
        <w:tc>
          <w:tcPr>
            <w:tcW w:w="487" w:type="pct"/>
            <w:shd w:val="clear" w:color="auto" w:fill="006726"/>
            <w:textDirection w:val="btLr"/>
            <w:hideMark/>
          </w:tcPr>
          <w:p w14:paraId="2567DEC3"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Score</w:t>
            </w:r>
          </w:p>
        </w:tc>
        <w:tc>
          <w:tcPr>
            <w:tcW w:w="487" w:type="pct"/>
            <w:shd w:val="clear" w:color="auto" w:fill="006726"/>
            <w:textDirection w:val="btLr"/>
            <w:hideMark/>
          </w:tcPr>
          <w:p w14:paraId="1CD9A0DB"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Cost</w:t>
            </w:r>
          </w:p>
        </w:tc>
        <w:tc>
          <w:tcPr>
            <w:tcW w:w="486" w:type="pct"/>
            <w:shd w:val="clear" w:color="auto" w:fill="006726"/>
            <w:textDirection w:val="btLr"/>
            <w:hideMark/>
          </w:tcPr>
          <w:p w14:paraId="63FCA602" w14:textId="77777777" w:rsidR="00C050E2" w:rsidRPr="00AF53DA" w:rsidRDefault="00C050E2" w:rsidP="00587936">
            <w:pPr>
              <w:ind w:left="113" w:right="113"/>
              <w:cnfStyle w:val="100000000000" w:firstRow="1" w:lastRow="0" w:firstColumn="0" w:lastColumn="0" w:oddVBand="0" w:evenVBand="0" w:oddHBand="0" w:evenHBand="0" w:firstRowFirstColumn="0" w:firstRowLastColumn="0" w:lastRowFirstColumn="0" w:lastRowLastColumn="0"/>
              <w:rPr>
                <w:rFonts w:cs="Arial"/>
              </w:rPr>
            </w:pPr>
            <w:r w:rsidRPr="00AF53DA">
              <w:rPr>
                <w:rFonts w:cs="Arial"/>
              </w:rPr>
              <w:t xml:space="preserve">Cost </w:t>
            </w:r>
            <w:r w:rsidRPr="008252D3">
              <w:rPr>
                <w:rFonts w:cs="Arial"/>
              </w:rPr>
              <w:t>Score</w:t>
            </w:r>
          </w:p>
        </w:tc>
      </w:tr>
      <w:tr w:rsidR="00100A3B" w:rsidRPr="004C3EB4" w14:paraId="0FB71C60" w14:textId="77777777" w:rsidTr="00DF643F">
        <w:trPr>
          <w:trHeight w:val="697"/>
        </w:trPr>
        <w:tc>
          <w:tcPr>
            <w:cnfStyle w:val="001000000000" w:firstRow="0" w:lastRow="0" w:firstColumn="1" w:lastColumn="0" w:oddVBand="0" w:evenVBand="0" w:oddHBand="0" w:evenHBand="0" w:firstRowFirstColumn="0" w:firstRowLastColumn="0" w:lastRowFirstColumn="0" w:lastRowLastColumn="0"/>
            <w:tcW w:w="487" w:type="pct"/>
            <w:noWrap/>
            <w:hideMark/>
          </w:tcPr>
          <w:p w14:paraId="48568F90" w14:textId="77777777" w:rsidR="00100A3B" w:rsidRPr="004C3EB4" w:rsidRDefault="00100A3B" w:rsidP="00100A3B">
            <w:pPr>
              <w:rPr>
                <w:rFonts w:cs="Arial"/>
              </w:rPr>
            </w:pPr>
            <w:r w:rsidRPr="004C3EB4">
              <w:rPr>
                <w:rFonts w:cs="Arial"/>
              </w:rPr>
              <w:t>1</w:t>
            </w:r>
          </w:p>
        </w:tc>
        <w:tc>
          <w:tcPr>
            <w:tcW w:w="1667" w:type="pct"/>
            <w:vAlign w:val="top"/>
            <w:hideMark/>
          </w:tcPr>
          <w:p w14:paraId="3BCE5996" w14:textId="6C5C294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Clean Air Zone</w:t>
            </w:r>
          </w:p>
        </w:tc>
        <w:tc>
          <w:tcPr>
            <w:tcW w:w="412" w:type="pct"/>
            <w:shd w:val="clear" w:color="auto" w:fill="C5E0B3" w:themeFill="accent6" w:themeFillTint="66"/>
            <w:noWrap/>
            <w:vAlign w:val="top"/>
            <w:hideMark/>
          </w:tcPr>
          <w:p w14:paraId="764F93E6" w14:textId="26A9B070"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C5E0B3" w:themeFill="accent6" w:themeFillTint="66"/>
            <w:noWrap/>
            <w:vAlign w:val="top"/>
            <w:hideMark/>
          </w:tcPr>
          <w:p w14:paraId="65E9D889" w14:textId="56E29287"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7CAAC" w:themeFill="accent2" w:themeFillTint="66"/>
            <w:noWrap/>
            <w:vAlign w:val="top"/>
            <w:hideMark/>
          </w:tcPr>
          <w:p w14:paraId="5724F4E2" w14:textId="4D1C16B7"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7" w:type="pct"/>
            <w:noWrap/>
            <w:vAlign w:val="top"/>
            <w:hideMark/>
          </w:tcPr>
          <w:p w14:paraId="3FD35845" w14:textId="49A043D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10</w:t>
            </w:r>
          </w:p>
        </w:tc>
        <w:tc>
          <w:tcPr>
            <w:tcW w:w="487" w:type="pct"/>
            <w:noWrap/>
            <w:vAlign w:val="top"/>
            <w:hideMark/>
          </w:tcPr>
          <w:p w14:paraId="29EE2490" w14:textId="2458903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6" w:type="pct"/>
            <w:noWrap/>
            <w:vAlign w:val="top"/>
            <w:hideMark/>
          </w:tcPr>
          <w:p w14:paraId="2FFD6575" w14:textId="74A23FE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10</w:t>
            </w:r>
          </w:p>
        </w:tc>
      </w:tr>
      <w:tr w:rsidR="00100A3B" w:rsidRPr="004C3EB4" w14:paraId="02A8DE73" w14:textId="77777777" w:rsidTr="00DF643F">
        <w:trPr>
          <w:trHeight w:val="699"/>
        </w:trPr>
        <w:tc>
          <w:tcPr>
            <w:cnfStyle w:val="001000000000" w:firstRow="0" w:lastRow="0" w:firstColumn="1" w:lastColumn="0" w:oddVBand="0" w:evenVBand="0" w:oddHBand="0" w:evenHBand="0" w:firstRowFirstColumn="0" w:firstRowLastColumn="0" w:lastRowFirstColumn="0" w:lastRowLastColumn="0"/>
            <w:tcW w:w="487" w:type="pct"/>
            <w:noWrap/>
            <w:hideMark/>
          </w:tcPr>
          <w:p w14:paraId="7EC840B3" w14:textId="77777777" w:rsidR="00100A3B" w:rsidRPr="004C3EB4" w:rsidRDefault="00100A3B" w:rsidP="00100A3B">
            <w:pPr>
              <w:rPr>
                <w:rFonts w:cs="Arial"/>
              </w:rPr>
            </w:pPr>
            <w:r w:rsidRPr="004C3EB4">
              <w:rPr>
                <w:rFonts w:cs="Arial"/>
              </w:rPr>
              <w:t>2</w:t>
            </w:r>
          </w:p>
        </w:tc>
        <w:tc>
          <w:tcPr>
            <w:tcW w:w="1667" w:type="pct"/>
            <w:vAlign w:val="top"/>
            <w:hideMark/>
          </w:tcPr>
          <w:p w14:paraId="63670B36" w14:textId="7324079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 xml:space="preserve">Bus Electrification </w:t>
            </w:r>
          </w:p>
        </w:tc>
        <w:tc>
          <w:tcPr>
            <w:tcW w:w="412" w:type="pct"/>
            <w:shd w:val="clear" w:color="auto" w:fill="FFE599" w:themeFill="accent4" w:themeFillTint="66"/>
            <w:noWrap/>
            <w:vAlign w:val="top"/>
            <w:hideMark/>
          </w:tcPr>
          <w:p w14:paraId="0325FDF3" w14:textId="48439B3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C5E0B3" w:themeFill="accent6" w:themeFillTint="66"/>
            <w:noWrap/>
            <w:vAlign w:val="top"/>
            <w:hideMark/>
          </w:tcPr>
          <w:p w14:paraId="638BF2E5" w14:textId="64A6A742"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FE599" w:themeFill="accent4" w:themeFillTint="66"/>
            <w:noWrap/>
            <w:vAlign w:val="top"/>
            <w:hideMark/>
          </w:tcPr>
          <w:p w14:paraId="0AF22E10" w14:textId="686B68B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07DDD164" w14:textId="7B9E0BB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10</w:t>
            </w:r>
          </w:p>
        </w:tc>
        <w:tc>
          <w:tcPr>
            <w:tcW w:w="487" w:type="pct"/>
            <w:noWrap/>
            <w:vAlign w:val="top"/>
            <w:hideMark/>
          </w:tcPr>
          <w:p w14:paraId="63B697EF" w14:textId="7934BC1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6" w:type="pct"/>
            <w:noWrap/>
            <w:vAlign w:val="top"/>
            <w:hideMark/>
          </w:tcPr>
          <w:p w14:paraId="6EEF84E9" w14:textId="77203F7A"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10</w:t>
            </w:r>
          </w:p>
        </w:tc>
      </w:tr>
      <w:tr w:rsidR="00100A3B" w:rsidRPr="004C3EB4" w14:paraId="05FB1BB3" w14:textId="77777777" w:rsidTr="00DF643F">
        <w:trPr>
          <w:trHeight w:val="1262"/>
        </w:trPr>
        <w:tc>
          <w:tcPr>
            <w:cnfStyle w:val="001000000000" w:firstRow="0" w:lastRow="0" w:firstColumn="1" w:lastColumn="0" w:oddVBand="0" w:evenVBand="0" w:oddHBand="0" w:evenHBand="0" w:firstRowFirstColumn="0" w:firstRowLastColumn="0" w:lastRowFirstColumn="0" w:lastRowLastColumn="0"/>
            <w:tcW w:w="487" w:type="pct"/>
            <w:noWrap/>
            <w:hideMark/>
          </w:tcPr>
          <w:p w14:paraId="236A85F8" w14:textId="77777777" w:rsidR="00100A3B" w:rsidRPr="004C3EB4" w:rsidRDefault="00100A3B" w:rsidP="00100A3B">
            <w:pPr>
              <w:rPr>
                <w:rFonts w:cs="Arial"/>
              </w:rPr>
            </w:pPr>
            <w:r w:rsidRPr="004C3EB4">
              <w:rPr>
                <w:rFonts w:cs="Arial"/>
              </w:rPr>
              <w:t>3</w:t>
            </w:r>
          </w:p>
        </w:tc>
        <w:tc>
          <w:tcPr>
            <w:tcW w:w="1667" w:type="pct"/>
            <w:vAlign w:val="top"/>
            <w:hideMark/>
          </w:tcPr>
          <w:p w14:paraId="48A24AAB" w14:textId="70701788"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Exposure Limitation at Stephenson Road</w:t>
            </w:r>
          </w:p>
        </w:tc>
        <w:tc>
          <w:tcPr>
            <w:tcW w:w="412" w:type="pct"/>
            <w:shd w:val="clear" w:color="auto" w:fill="FFE599" w:themeFill="accent4" w:themeFillTint="66"/>
            <w:noWrap/>
            <w:vAlign w:val="top"/>
            <w:hideMark/>
          </w:tcPr>
          <w:p w14:paraId="15176F38" w14:textId="17439E4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C5E0B3" w:themeFill="accent6" w:themeFillTint="66"/>
            <w:noWrap/>
            <w:vAlign w:val="top"/>
            <w:hideMark/>
          </w:tcPr>
          <w:p w14:paraId="3F127CCD" w14:textId="181B52E0"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7CAAC" w:themeFill="accent2" w:themeFillTint="66"/>
            <w:noWrap/>
            <w:vAlign w:val="top"/>
            <w:hideMark/>
          </w:tcPr>
          <w:p w14:paraId="434AACEC" w14:textId="6B470961"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7" w:type="pct"/>
            <w:noWrap/>
            <w:vAlign w:val="top"/>
            <w:hideMark/>
          </w:tcPr>
          <w:p w14:paraId="22D8BB85" w14:textId="1F3FBC4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6F9E925D" w14:textId="6B27F618"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6" w:type="pct"/>
            <w:noWrap/>
            <w:vAlign w:val="top"/>
            <w:hideMark/>
          </w:tcPr>
          <w:p w14:paraId="3161EAB4" w14:textId="7718D6EC"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18</w:t>
            </w:r>
          </w:p>
        </w:tc>
      </w:tr>
      <w:tr w:rsidR="00100A3B" w:rsidRPr="004C3EB4" w14:paraId="455322BB" w14:textId="77777777" w:rsidTr="00DF643F">
        <w:trPr>
          <w:trHeight w:val="837"/>
        </w:trPr>
        <w:tc>
          <w:tcPr>
            <w:cnfStyle w:val="001000000000" w:firstRow="0" w:lastRow="0" w:firstColumn="1" w:lastColumn="0" w:oddVBand="0" w:evenVBand="0" w:oddHBand="0" w:evenHBand="0" w:firstRowFirstColumn="0" w:firstRowLastColumn="0" w:lastRowFirstColumn="0" w:lastRowLastColumn="0"/>
            <w:tcW w:w="487" w:type="pct"/>
            <w:noWrap/>
            <w:hideMark/>
          </w:tcPr>
          <w:p w14:paraId="0D624612" w14:textId="77777777" w:rsidR="00100A3B" w:rsidRPr="004C3EB4" w:rsidRDefault="00100A3B" w:rsidP="00100A3B">
            <w:pPr>
              <w:rPr>
                <w:rFonts w:cs="Arial"/>
              </w:rPr>
            </w:pPr>
            <w:r w:rsidRPr="004C3EB4">
              <w:rPr>
                <w:rFonts w:cs="Arial"/>
              </w:rPr>
              <w:t>4</w:t>
            </w:r>
          </w:p>
        </w:tc>
        <w:tc>
          <w:tcPr>
            <w:tcW w:w="1667" w:type="pct"/>
            <w:vAlign w:val="top"/>
            <w:hideMark/>
          </w:tcPr>
          <w:p w14:paraId="0E26E22E" w14:textId="2D5C08E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Local Plan</w:t>
            </w:r>
          </w:p>
        </w:tc>
        <w:tc>
          <w:tcPr>
            <w:tcW w:w="412" w:type="pct"/>
            <w:shd w:val="clear" w:color="auto" w:fill="C5E0B3" w:themeFill="accent6" w:themeFillTint="66"/>
            <w:noWrap/>
            <w:vAlign w:val="top"/>
            <w:hideMark/>
          </w:tcPr>
          <w:p w14:paraId="04BFB6B0" w14:textId="3ECF8780"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FE599" w:themeFill="accent4" w:themeFillTint="66"/>
            <w:noWrap/>
            <w:vAlign w:val="top"/>
            <w:hideMark/>
          </w:tcPr>
          <w:p w14:paraId="49D02559" w14:textId="3A8E08B3"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5135B600" w14:textId="75F094A3"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149402B5" w14:textId="29833AB6"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0D389207" w14:textId="2A70179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6" w:type="pct"/>
            <w:noWrap/>
            <w:vAlign w:val="top"/>
            <w:hideMark/>
          </w:tcPr>
          <w:p w14:paraId="4E46D9D4" w14:textId="29458333"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27</w:t>
            </w:r>
          </w:p>
        </w:tc>
      </w:tr>
      <w:tr w:rsidR="00100A3B" w:rsidRPr="004C3EB4" w14:paraId="67DB0F7A" w14:textId="77777777" w:rsidTr="00DF643F">
        <w:trPr>
          <w:trHeight w:val="1134"/>
        </w:trPr>
        <w:tc>
          <w:tcPr>
            <w:cnfStyle w:val="001000000000" w:firstRow="0" w:lastRow="0" w:firstColumn="1" w:lastColumn="0" w:oddVBand="0" w:evenVBand="0" w:oddHBand="0" w:evenHBand="0" w:firstRowFirstColumn="0" w:firstRowLastColumn="0" w:lastRowFirstColumn="0" w:lastRowLastColumn="0"/>
            <w:tcW w:w="487" w:type="pct"/>
            <w:noWrap/>
            <w:hideMark/>
          </w:tcPr>
          <w:p w14:paraId="2168307C" w14:textId="77777777" w:rsidR="00100A3B" w:rsidRPr="004C3EB4" w:rsidRDefault="00100A3B" w:rsidP="00100A3B">
            <w:pPr>
              <w:rPr>
                <w:rFonts w:cs="Arial"/>
              </w:rPr>
            </w:pPr>
            <w:r w:rsidRPr="004C3EB4">
              <w:rPr>
                <w:rFonts w:cs="Arial"/>
              </w:rPr>
              <w:t>5</w:t>
            </w:r>
          </w:p>
        </w:tc>
        <w:tc>
          <w:tcPr>
            <w:tcW w:w="1667" w:type="pct"/>
            <w:vAlign w:val="top"/>
            <w:hideMark/>
          </w:tcPr>
          <w:p w14:paraId="3518C2A4" w14:textId="6AC70DB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Movement Strategy</w:t>
            </w:r>
          </w:p>
        </w:tc>
        <w:tc>
          <w:tcPr>
            <w:tcW w:w="412" w:type="pct"/>
            <w:shd w:val="clear" w:color="auto" w:fill="C5E0B3" w:themeFill="accent6" w:themeFillTint="66"/>
            <w:noWrap/>
            <w:vAlign w:val="top"/>
            <w:hideMark/>
          </w:tcPr>
          <w:p w14:paraId="11EFCCE5" w14:textId="71665602"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FE599" w:themeFill="accent4" w:themeFillTint="66"/>
            <w:noWrap/>
            <w:vAlign w:val="top"/>
            <w:hideMark/>
          </w:tcPr>
          <w:p w14:paraId="37943353" w14:textId="7DFE88D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4B81D197" w14:textId="28D421D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4E5270E9" w14:textId="6D22A2B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4BC2796E" w14:textId="64CA665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6" w:type="pct"/>
            <w:noWrap/>
            <w:vAlign w:val="top"/>
            <w:hideMark/>
          </w:tcPr>
          <w:p w14:paraId="7EB9422E" w14:textId="43C4A8EA"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27</w:t>
            </w:r>
          </w:p>
        </w:tc>
      </w:tr>
      <w:tr w:rsidR="00100A3B" w:rsidRPr="004C3EB4" w14:paraId="45799DAE" w14:textId="77777777" w:rsidTr="00DF643F">
        <w:trPr>
          <w:trHeight w:val="553"/>
        </w:trPr>
        <w:tc>
          <w:tcPr>
            <w:cnfStyle w:val="001000000000" w:firstRow="0" w:lastRow="0" w:firstColumn="1" w:lastColumn="0" w:oddVBand="0" w:evenVBand="0" w:oddHBand="0" w:evenHBand="0" w:firstRowFirstColumn="0" w:firstRowLastColumn="0" w:lastRowFirstColumn="0" w:lastRowLastColumn="0"/>
            <w:tcW w:w="487" w:type="pct"/>
            <w:noWrap/>
            <w:hideMark/>
          </w:tcPr>
          <w:p w14:paraId="59EDB228" w14:textId="6A90F145" w:rsidR="00100A3B" w:rsidRPr="004C3EB4" w:rsidRDefault="00100A3B" w:rsidP="00100A3B">
            <w:pPr>
              <w:rPr>
                <w:rFonts w:cs="Arial"/>
              </w:rPr>
            </w:pPr>
            <w:r>
              <w:rPr>
                <w:rFonts w:cs="Arial"/>
              </w:rPr>
              <w:t>6</w:t>
            </w:r>
          </w:p>
        </w:tc>
        <w:tc>
          <w:tcPr>
            <w:tcW w:w="1667" w:type="pct"/>
            <w:vAlign w:val="top"/>
            <w:hideMark/>
          </w:tcPr>
          <w:p w14:paraId="0ED88585" w14:textId="5584E338"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Active Travel Investment</w:t>
            </w:r>
          </w:p>
        </w:tc>
        <w:tc>
          <w:tcPr>
            <w:tcW w:w="412" w:type="pct"/>
            <w:shd w:val="clear" w:color="auto" w:fill="FFE599" w:themeFill="accent4" w:themeFillTint="66"/>
            <w:noWrap/>
            <w:vAlign w:val="top"/>
            <w:hideMark/>
          </w:tcPr>
          <w:p w14:paraId="238702C1" w14:textId="660DBE8C"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0D816BE0" w14:textId="3853ED9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C5E0B3" w:themeFill="accent6" w:themeFillTint="66"/>
            <w:noWrap/>
            <w:vAlign w:val="top"/>
            <w:hideMark/>
          </w:tcPr>
          <w:p w14:paraId="391427F9" w14:textId="06CE361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noWrap/>
            <w:vAlign w:val="top"/>
            <w:hideMark/>
          </w:tcPr>
          <w:p w14:paraId="554E4CC1" w14:textId="2FFEA6D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37E36506" w14:textId="57544C31"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6" w:type="pct"/>
            <w:noWrap/>
            <w:vAlign w:val="top"/>
            <w:hideMark/>
          </w:tcPr>
          <w:p w14:paraId="29A77A03" w14:textId="57FBE0D2"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r>
      <w:tr w:rsidR="00100A3B" w:rsidRPr="004C3EB4" w14:paraId="32E2BD31" w14:textId="77777777" w:rsidTr="00DF643F">
        <w:trPr>
          <w:trHeight w:val="920"/>
        </w:trPr>
        <w:tc>
          <w:tcPr>
            <w:cnfStyle w:val="001000000000" w:firstRow="0" w:lastRow="0" w:firstColumn="1" w:lastColumn="0" w:oddVBand="0" w:evenVBand="0" w:oddHBand="0" w:evenHBand="0" w:firstRowFirstColumn="0" w:firstRowLastColumn="0" w:lastRowFirstColumn="0" w:lastRowLastColumn="0"/>
            <w:tcW w:w="487" w:type="pct"/>
            <w:noWrap/>
            <w:hideMark/>
          </w:tcPr>
          <w:p w14:paraId="65A2F107" w14:textId="74ECBD24" w:rsidR="00100A3B" w:rsidRPr="004C3EB4" w:rsidRDefault="00100A3B" w:rsidP="00100A3B">
            <w:pPr>
              <w:rPr>
                <w:rFonts w:cs="Arial"/>
              </w:rPr>
            </w:pPr>
            <w:r>
              <w:rPr>
                <w:rFonts w:cs="Arial"/>
              </w:rPr>
              <w:t>7</w:t>
            </w:r>
          </w:p>
        </w:tc>
        <w:tc>
          <w:tcPr>
            <w:tcW w:w="1667" w:type="pct"/>
            <w:vAlign w:val="top"/>
            <w:hideMark/>
          </w:tcPr>
          <w:p w14:paraId="37058B0F" w14:textId="3920FAA6"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Travel Cards</w:t>
            </w:r>
          </w:p>
        </w:tc>
        <w:tc>
          <w:tcPr>
            <w:tcW w:w="412" w:type="pct"/>
            <w:shd w:val="clear" w:color="auto" w:fill="C5E0B3" w:themeFill="accent6" w:themeFillTint="66"/>
            <w:noWrap/>
            <w:vAlign w:val="top"/>
            <w:hideMark/>
          </w:tcPr>
          <w:p w14:paraId="6AB49F67" w14:textId="413C93C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FE599" w:themeFill="accent4" w:themeFillTint="66"/>
            <w:noWrap/>
            <w:vAlign w:val="top"/>
            <w:hideMark/>
          </w:tcPr>
          <w:p w14:paraId="2E543445" w14:textId="4BFE6BEC"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6F660C96" w14:textId="7A7F17C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38FDC84F" w14:textId="78BFD500"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7AFA553D" w14:textId="725B6BB1"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6" w:type="pct"/>
            <w:noWrap/>
            <w:vAlign w:val="top"/>
            <w:hideMark/>
          </w:tcPr>
          <w:p w14:paraId="70A4FD7E" w14:textId="383F4788"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27</w:t>
            </w:r>
          </w:p>
        </w:tc>
      </w:tr>
      <w:tr w:rsidR="00100A3B" w:rsidRPr="004C3EB4" w14:paraId="7475F5B5" w14:textId="77777777" w:rsidTr="00DF643F">
        <w:trPr>
          <w:trHeight w:val="119"/>
        </w:trPr>
        <w:tc>
          <w:tcPr>
            <w:cnfStyle w:val="001000000000" w:firstRow="0" w:lastRow="0" w:firstColumn="1" w:lastColumn="0" w:oddVBand="0" w:evenVBand="0" w:oddHBand="0" w:evenHBand="0" w:firstRowFirstColumn="0" w:firstRowLastColumn="0" w:lastRowFirstColumn="0" w:lastRowLastColumn="0"/>
            <w:tcW w:w="487" w:type="pct"/>
            <w:noWrap/>
            <w:hideMark/>
          </w:tcPr>
          <w:p w14:paraId="3F80CCC7" w14:textId="6EA80B56" w:rsidR="00100A3B" w:rsidRPr="004C3EB4" w:rsidRDefault="00100A3B" w:rsidP="00100A3B">
            <w:pPr>
              <w:rPr>
                <w:rFonts w:cs="Arial"/>
              </w:rPr>
            </w:pPr>
            <w:r>
              <w:rPr>
                <w:rFonts w:cs="Arial"/>
              </w:rPr>
              <w:lastRenderedPageBreak/>
              <w:t>8</w:t>
            </w:r>
          </w:p>
        </w:tc>
        <w:tc>
          <w:tcPr>
            <w:tcW w:w="1667" w:type="pct"/>
            <w:vAlign w:val="top"/>
            <w:hideMark/>
          </w:tcPr>
          <w:p w14:paraId="4B3CCF2D" w14:textId="3FC7E7C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Smoke Control Area Education and Enforcement</w:t>
            </w:r>
          </w:p>
        </w:tc>
        <w:tc>
          <w:tcPr>
            <w:tcW w:w="412" w:type="pct"/>
            <w:shd w:val="clear" w:color="auto" w:fill="C5E0B3" w:themeFill="accent6" w:themeFillTint="66"/>
            <w:noWrap/>
            <w:vAlign w:val="top"/>
            <w:hideMark/>
          </w:tcPr>
          <w:p w14:paraId="76E4C5DD" w14:textId="7313180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7" w:type="pct"/>
            <w:shd w:val="clear" w:color="auto" w:fill="FFE599" w:themeFill="accent4" w:themeFillTint="66"/>
            <w:noWrap/>
            <w:vAlign w:val="top"/>
            <w:hideMark/>
          </w:tcPr>
          <w:p w14:paraId="4187AB4B" w14:textId="3E8EA05C"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0CC32767" w14:textId="00AACA2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35CB5503" w14:textId="331A271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9</w:t>
            </w:r>
          </w:p>
        </w:tc>
        <w:tc>
          <w:tcPr>
            <w:tcW w:w="487" w:type="pct"/>
            <w:noWrap/>
            <w:vAlign w:val="top"/>
            <w:hideMark/>
          </w:tcPr>
          <w:p w14:paraId="54892F94" w14:textId="0D5B616D"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3</w:t>
            </w:r>
          </w:p>
        </w:tc>
        <w:tc>
          <w:tcPr>
            <w:tcW w:w="486" w:type="pct"/>
            <w:noWrap/>
            <w:vAlign w:val="top"/>
            <w:hideMark/>
          </w:tcPr>
          <w:p w14:paraId="2DF3124A" w14:textId="05B54212"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27</w:t>
            </w:r>
          </w:p>
        </w:tc>
      </w:tr>
      <w:tr w:rsidR="00100A3B" w:rsidRPr="004C3EB4" w14:paraId="7199BAC8" w14:textId="77777777" w:rsidTr="00DF643F">
        <w:trPr>
          <w:trHeight w:val="454"/>
        </w:trPr>
        <w:tc>
          <w:tcPr>
            <w:cnfStyle w:val="001000000000" w:firstRow="0" w:lastRow="0" w:firstColumn="1" w:lastColumn="0" w:oddVBand="0" w:evenVBand="0" w:oddHBand="0" w:evenHBand="0" w:firstRowFirstColumn="0" w:firstRowLastColumn="0" w:lastRowFirstColumn="0" w:lastRowLastColumn="0"/>
            <w:tcW w:w="487" w:type="pct"/>
            <w:noWrap/>
            <w:hideMark/>
          </w:tcPr>
          <w:p w14:paraId="6C60121E" w14:textId="15B44F7F" w:rsidR="00100A3B" w:rsidRPr="004C3EB4" w:rsidRDefault="00100A3B" w:rsidP="00100A3B">
            <w:pPr>
              <w:rPr>
                <w:rFonts w:cs="Arial"/>
              </w:rPr>
            </w:pPr>
            <w:r>
              <w:rPr>
                <w:rFonts w:cs="Arial"/>
              </w:rPr>
              <w:t>9</w:t>
            </w:r>
          </w:p>
        </w:tc>
        <w:tc>
          <w:tcPr>
            <w:tcW w:w="1667" w:type="pct"/>
            <w:vAlign w:val="top"/>
            <w:hideMark/>
          </w:tcPr>
          <w:p w14:paraId="3CA4025C" w14:textId="415A77A4"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Car Club</w:t>
            </w:r>
          </w:p>
        </w:tc>
        <w:tc>
          <w:tcPr>
            <w:tcW w:w="412" w:type="pct"/>
            <w:shd w:val="clear" w:color="auto" w:fill="FFE599" w:themeFill="accent4" w:themeFillTint="66"/>
            <w:noWrap/>
            <w:vAlign w:val="top"/>
            <w:hideMark/>
          </w:tcPr>
          <w:p w14:paraId="7AFB47D4" w14:textId="46ACAF20"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14FF8A00" w14:textId="69C72701"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2A5DF0C0" w14:textId="18303D0A"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70E9CBEA" w14:textId="0DA25CC9"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8</w:t>
            </w:r>
          </w:p>
        </w:tc>
        <w:tc>
          <w:tcPr>
            <w:tcW w:w="487" w:type="pct"/>
            <w:noWrap/>
            <w:vAlign w:val="top"/>
            <w:hideMark/>
          </w:tcPr>
          <w:p w14:paraId="5440CBDD" w14:textId="28CE4EAE"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6" w:type="pct"/>
            <w:noWrap/>
            <w:vAlign w:val="top"/>
            <w:hideMark/>
          </w:tcPr>
          <w:p w14:paraId="54D9C0DD" w14:textId="0DAD43E1"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16</w:t>
            </w:r>
          </w:p>
        </w:tc>
      </w:tr>
      <w:tr w:rsidR="00100A3B" w:rsidRPr="004C3EB4" w14:paraId="679CAD43" w14:textId="77777777" w:rsidTr="00DF643F">
        <w:trPr>
          <w:trHeight w:val="397"/>
        </w:trPr>
        <w:tc>
          <w:tcPr>
            <w:cnfStyle w:val="001000000000" w:firstRow="0" w:lastRow="0" w:firstColumn="1" w:lastColumn="0" w:oddVBand="0" w:evenVBand="0" w:oddHBand="0" w:evenHBand="0" w:firstRowFirstColumn="0" w:firstRowLastColumn="0" w:lastRowFirstColumn="0" w:lastRowLastColumn="0"/>
            <w:tcW w:w="487" w:type="pct"/>
            <w:noWrap/>
            <w:hideMark/>
          </w:tcPr>
          <w:p w14:paraId="319F8996" w14:textId="4B11B9F9" w:rsidR="00100A3B" w:rsidRPr="004C3EB4" w:rsidRDefault="00100A3B" w:rsidP="00100A3B">
            <w:pPr>
              <w:rPr>
                <w:rFonts w:cs="Arial"/>
              </w:rPr>
            </w:pPr>
            <w:r>
              <w:rPr>
                <w:rFonts w:cs="Arial"/>
              </w:rPr>
              <w:t>10</w:t>
            </w:r>
          </w:p>
        </w:tc>
        <w:tc>
          <w:tcPr>
            <w:tcW w:w="1667" w:type="pct"/>
            <w:vAlign w:val="top"/>
            <w:hideMark/>
          </w:tcPr>
          <w:p w14:paraId="506E0DF1" w14:textId="7AF0251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Electric charging infrastructure</w:t>
            </w:r>
          </w:p>
        </w:tc>
        <w:tc>
          <w:tcPr>
            <w:tcW w:w="412" w:type="pct"/>
            <w:shd w:val="clear" w:color="auto" w:fill="F7CAAC" w:themeFill="accent2" w:themeFillTint="66"/>
            <w:noWrap/>
            <w:vAlign w:val="top"/>
            <w:hideMark/>
          </w:tcPr>
          <w:p w14:paraId="2919B736" w14:textId="69CB885F"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7" w:type="pct"/>
            <w:shd w:val="clear" w:color="auto" w:fill="FFE599" w:themeFill="accent4" w:themeFillTint="66"/>
            <w:noWrap/>
            <w:vAlign w:val="top"/>
            <w:hideMark/>
          </w:tcPr>
          <w:p w14:paraId="5A96523B" w14:textId="403B8B17"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shd w:val="clear" w:color="auto" w:fill="FFE599" w:themeFill="accent4" w:themeFillTint="66"/>
            <w:noWrap/>
            <w:vAlign w:val="top"/>
            <w:hideMark/>
          </w:tcPr>
          <w:p w14:paraId="53DD8370" w14:textId="4753BE62"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2</w:t>
            </w:r>
          </w:p>
        </w:tc>
        <w:tc>
          <w:tcPr>
            <w:tcW w:w="487" w:type="pct"/>
            <w:noWrap/>
            <w:vAlign w:val="top"/>
            <w:hideMark/>
          </w:tcPr>
          <w:p w14:paraId="74085001" w14:textId="72BB84F3"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7</w:t>
            </w:r>
          </w:p>
        </w:tc>
        <w:tc>
          <w:tcPr>
            <w:tcW w:w="487" w:type="pct"/>
            <w:noWrap/>
            <w:vAlign w:val="top"/>
            <w:hideMark/>
          </w:tcPr>
          <w:p w14:paraId="7DF21AEA" w14:textId="1EE845D5"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1</w:t>
            </w:r>
          </w:p>
        </w:tc>
        <w:tc>
          <w:tcPr>
            <w:tcW w:w="486" w:type="pct"/>
            <w:noWrap/>
            <w:vAlign w:val="top"/>
            <w:hideMark/>
          </w:tcPr>
          <w:p w14:paraId="4BFF7A38" w14:textId="4FCBB10E" w:rsidR="00100A3B" w:rsidRPr="004C3EB4" w:rsidRDefault="00100A3B" w:rsidP="00100A3B">
            <w:pPr>
              <w:cnfStyle w:val="000000000000" w:firstRow="0" w:lastRow="0" w:firstColumn="0" w:lastColumn="0" w:oddVBand="0" w:evenVBand="0" w:oddHBand="0" w:evenHBand="0" w:firstRowFirstColumn="0" w:firstRowLastColumn="0" w:lastRowFirstColumn="0" w:lastRowLastColumn="0"/>
              <w:rPr>
                <w:rFonts w:cs="Arial"/>
              </w:rPr>
            </w:pPr>
            <w:r w:rsidRPr="00FE1616">
              <w:t>7</w:t>
            </w:r>
          </w:p>
        </w:tc>
      </w:tr>
    </w:tbl>
    <w:p w14:paraId="7C72E224" w14:textId="77777777" w:rsidR="00014E1E" w:rsidRDefault="00014E1E" w:rsidP="00014E1E"/>
    <w:p w14:paraId="5F83DD41" w14:textId="518CE37D" w:rsidR="00014E1E" w:rsidRDefault="00014E1E" w:rsidP="00014E1E">
      <w:r>
        <w:t>Three measures have been identified as the ‘top three’ air quality actions due to their high</w:t>
      </w:r>
      <w:r w:rsidR="006A658E">
        <w:t xml:space="preserve"> scores and because they scored the maximum for the air quality impact </w:t>
      </w:r>
      <w:r>
        <w:t xml:space="preserve">as identified by the cost benefit analysis, and these actions are prioritised for further detailed information in Sections </w:t>
      </w:r>
      <w:r>
        <w:fldChar w:fldCharType="begin"/>
      </w:r>
      <w:r>
        <w:instrText xml:space="preserve"> REF _Ref210915642 \r \h </w:instrText>
      </w:r>
      <w:r>
        <w:fldChar w:fldCharType="separate"/>
      </w:r>
      <w:r>
        <w:t>5.3</w:t>
      </w:r>
      <w:r>
        <w:fldChar w:fldCharType="end"/>
      </w:r>
      <w:r>
        <w:t xml:space="preserve"> and </w:t>
      </w:r>
      <w:r>
        <w:fldChar w:fldCharType="begin"/>
      </w:r>
      <w:r>
        <w:instrText xml:space="preserve"> REF _Ref210915649 \r \h </w:instrText>
      </w:r>
      <w:r>
        <w:fldChar w:fldCharType="separate"/>
      </w:r>
      <w:r>
        <w:t>6</w:t>
      </w:r>
      <w:r>
        <w:fldChar w:fldCharType="end"/>
      </w:r>
      <w:r>
        <w:t xml:space="preserve">. All actions are presented in order of descending order score (before cost considerations). </w:t>
      </w:r>
    </w:p>
    <w:p w14:paraId="0893F223" w14:textId="77777777" w:rsidR="00014E1E" w:rsidRDefault="00014E1E" w:rsidP="00014E1E"/>
    <w:p w14:paraId="4A313C7E" w14:textId="52FAA5AA" w:rsidR="00014E1E" w:rsidRPr="00014E1E" w:rsidRDefault="00014E1E" w:rsidP="00014E1E">
      <w:pPr>
        <w:sectPr w:rsidR="00014E1E" w:rsidRPr="00014E1E" w:rsidSect="002B4B5B">
          <w:pgSz w:w="11906" w:h="16838" w:code="9"/>
          <w:pgMar w:top="1474" w:right="1418" w:bottom="1134" w:left="1418" w:header="964" w:footer="454" w:gutter="0"/>
          <w:cols w:space="708"/>
          <w:docGrid w:linePitch="360"/>
        </w:sectPr>
      </w:pPr>
    </w:p>
    <w:p w14:paraId="7984268C" w14:textId="54543429" w:rsidR="006B4FAF" w:rsidRDefault="006B4FAF" w:rsidP="0046508E">
      <w:pPr>
        <w:pStyle w:val="Caption"/>
      </w:pPr>
      <w:bookmarkStart w:id="116" w:name="_Ref444770859"/>
      <w:bookmarkStart w:id="117" w:name="_Toc222131905"/>
      <w:r w:rsidRPr="00E3664B">
        <w:lastRenderedPageBreak/>
        <w:t xml:space="preserve">Table </w:t>
      </w:r>
      <w:r>
        <w:fldChar w:fldCharType="begin"/>
      </w:r>
      <w:r>
        <w:instrText>STYLEREF 1 \s</w:instrText>
      </w:r>
      <w:r>
        <w:fldChar w:fldCharType="separate"/>
      </w:r>
      <w:r w:rsidR="0047044D">
        <w:rPr>
          <w:noProof/>
        </w:rPr>
        <w:t>5</w:t>
      </w:r>
      <w:r>
        <w:fldChar w:fldCharType="end"/>
      </w:r>
      <w:r w:rsidR="00B83CC6">
        <w:t>.</w:t>
      </w:r>
      <w:r>
        <w:fldChar w:fldCharType="begin"/>
      </w:r>
      <w:r>
        <w:instrText>SEQ Table \* ARABIC \s 1</w:instrText>
      </w:r>
      <w:r>
        <w:fldChar w:fldCharType="separate"/>
      </w:r>
      <w:r w:rsidR="0047044D">
        <w:rPr>
          <w:noProof/>
        </w:rPr>
        <w:t>2</w:t>
      </w:r>
      <w:r>
        <w:fldChar w:fldCharType="end"/>
      </w:r>
      <w:bookmarkEnd w:id="116"/>
      <w:r w:rsidRPr="00E3664B">
        <w:t xml:space="preserve"> </w:t>
      </w:r>
      <w:r w:rsidR="00BE428E" w:rsidRPr="00BE428E">
        <w:t>‒</w:t>
      </w:r>
      <w:r w:rsidRPr="00E3664B">
        <w:t xml:space="preserve"> Air Quality Action Plan</w:t>
      </w:r>
      <w:r w:rsidR="008742E2">
        <w:t xml:space="preserve"> Measures</w:t>
      </w:r>
      <w:bookmarkEnd w:id="117"/>
    </w:p>
    <w:tbl>
      <w:tblPr>
        <w:tblStyle w:val="LAQMReporting"/>
        <w:tblW w:w="0" w:type="auto"/>
        <w:tblLayout w:type="fixed"/>
        <w:tblLook w:val="04A0" w:firstRow="1" w:lastRow="0" w:firstColumn="1" w:lastColumn="0" w:noHBand="0" w:noVBand="1"/>
      </w:tblPr>
      <w:tblGrid>
        <w:gridCol w:w="877"/>
        <w:gridCol w:w="1502"/>
        <w:gridCol w:w="1704"/>
        <w:gridCol w:w="1704"/>
        <w:gridCol w:w="1068"/>
        <w:gridCol w:w="1126"/>
        <w:gridCol w:w="1339"/>
        <w:gridCol w:w="924"/>
        <w:gridCol w:w="1089"/>
        <w:gridCol w:w="1377"/>
        <w:gridCol w:w="1021"/>
        <w:gridCol w:w="1484"/>
        <w:gridCol w:w="1560"/>
        <w:gridCol w:w="1252"/>
        <w:gridCol w:w="1317"/>
        <w:gridCol w:w="1849"/>
      </w:tblGrid>
      <w:tr w:rsidR="00C01596" w:rsidRPr="00E3664B" w14:paraId="5044CCB0" w14:textId="033F4696" w:rsidTr="00DF643F">
        <w:trPr>
          <w:cnfStyle w:val="100000000000" w:firstRow="1" w:lastRow="0" w:firstColumn="0" w:lastColumn="0" w:oddVBand="0" w:evenVBand="0" w:oddHBand="0" w:evenHBand="0" w:firstRowFirstColumn="0" w:firstRowLastColumn="0" w:lastRowFirstColumn="0" w:lastRowLastColumn="0"/>
          <w:trHeight w:val="70"/>
          <w:tblHeader/>
        </w:trPr>
        <w:tc>
          <w:tcPr>
            <w:cnfStyle w:val="001000000000" w:firstRow="0" w:lastRow="0" w:firstColumn="1" w:lastColumn="0" w:oddVBand="0" w:evenVBand="0" w:oddHBand="0" w:evenHBand="0" w:firstRowFirstColumn="0" w:firstRowLastColumn="0" w:lastRowFirstColumn="0" w:lastRowLastColumn="0"/>
            <w:tcW w:w="877" w:type="dxa"/>
          </w:tcPr>
          <w:p w14:paraId="12C86DB0" w14:textId="24A67FB7" w:rsidR="007A6FC4" w:rsidRPr="006B2AF4" w:rsidRDefault="007A6FC4" w:rsidP="006B2AF4">
            <w:pPr>
              <w:suppressAutoHyphens/>
              <w:rPr>
                <w:rFonts w:cs="Arial"/>
                <w:bCs/>
                <w:sz w:val="18"/>
                <w:szCs w:val="16"/>
              </w:rPr>
            </w:pPr>
            <w:bookmarkStart w:id="118" w:name="_Toc418595848"/>
            <w:bookmarkStart w:id="119" w:name="_Ref427070167"/>
            <w:r w:rsidRPr="006B2AF4">
              <w:rPr>
                <w:sz w:val="18"/>
                <w:szCs w:val="16"/>
              </w:rPr>
              <w:t>Measure No.</w:t>
            </w:r>
          </w:p>
        </w:tc>
        <w:tc>
          <w:tcPr>
            <w:tcW w:w="1502" w:type="dxa"/>
          </w:tcPr>
          <w:p w14:paraId="71EA8CC8" w14:textId="227E59D0"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6B2AF4">
              <w:rPr>
                <w:sz w:val="18"/>
                <w:szCs w:val="16"/>
              </w:rPr>
              <w:t>Measure</w:t>
            </w:r>
          </w:p>
        </w:tc>
        <w:tc>
          <w:tcPr>
            <w:tcW w:w="1704" w:type="dxa"/>
          </w:tcPr>
          <w:p w14:paraId="314C77B3" w14:textId="04DA2CAE"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6B2AF4">
              <w:rPr>
                <w:sz w:val="18"/>
                <w:szCs w:val="16"/>
              </w:rPr>
              <w:t>Category</w:t>
            </w:r>
          </w:p>
        </w:tc>
        <w:tc>
          <w:tcPr>
            <w:tcW w:w="1704" w:type="dxa"/>
          </w:tcPr>
          <w:p w14:paraId="6E2876B9" w14:textId="40F0C8FB"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sidRPr="006B2AF4">
              <w:rPr>
                <w:sz w:val="18"/>
                <w:szCs w:val="16"/>
              </w:rPr>
              <w:t>Classification</w:t>
            </w:r>
          </w:p>
        </w:tc>
        <w:tc>
          <w:tcPr>
            <w:tcW w:w="1068" w:type="dxa"/>
          </w:tcPr>
          <w:p w14:paraId="104F707F" w14:textId="705B20BE"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Estimated Year Measure to be Introduced</w:t>
            </w:r>
          </w:p>
        </w:tc>
        <w:tc>
          <w:tcPr>
            <w:tcW w:w="1126" w:type="dxa"/>
          </w:tcPr>
          <w:p w14:paraId="3EC7FEC9" w14:textId="58720493"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 xml:space="preserve">Estimated / Actual Completion </w:t>
            </w:r>
            <w:r w:rsidR="00B04C4A">
              <w:rPr>
                <w:sz w:val="18"/>
                <w:szCs w:val="16"/>
              </w:rPr>
              <w:t>Date</w:t>
            </w:r>
          </w:p>
        </w:tc>
        <w:tc>
          <w:tcPr>
            <w:tcW w:w="1339" w:type="dxa"/>
          </w:tcPr>
          <w:p w14:paraId="2885A81D" w14:textId="7F14DA24"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Organisations Involved</w:t>
            </w:r>
          </w:p>
        </w:tc>
        <w:tc>
          <w:tcPr>
            <w:tcW w:w="924" w:type="dxa"/>
          </w:tcPr>
          <w:p w14:paraId="0195EDC5" w14:textId="5E019B53"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Funding Source</w:t>
            </w:r>
          </w:p>
        </w:tc>
        <w:tc>
          <w:tcPr>
            <w:tcW w:w="1089" w:type="dxa"/>
          </w:tcPr>
          <w:p w14:paraId="4A141084" w14:textId="2832009F"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D</w:t>
            </w:r>
            <w:r w:rsidR="005D0FD6">
              <w:rPr>
                <w:sz w:val="18"/>
                <w:szCs w:val="16"/>
              </w:rPr>
              <w:t>EFRA</w:t>
            </w:r>
            <w:r>
              <w:rPr>
                <w:sz w:val="18"/>
                <w:szCs w:val="16"/>
              </w:rPr>
              <w:t xml:space="preserve"> AQ Grant Funding</w:t>
            </w:r>
          </w:p>
        </w:tc>
        <w:tc>
          <w:tcPr>
            <w:tcW w:w="1377" w:type="dxa"/>
          </w:tcPr>
          <w:p w14:paraId="699067D9" w14:textId="5B59B25F"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Funding Status</w:t>
            </w:r>
          </w:p>
        </w:tc>
        <w:tc>
          <w:tcPr>
            <w:tcW w:w="1021" w:type="dxa"/>
          </w:tcPr>
          <w:p w14:paraId="7C484566" w14:textId="39B8869C"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Estimated Cost of Measure</w:t>
            </w:r>
          </w:p>
        </w:tc>
        <w:tc>
          <w:tcPr>
            <w:tcW w:w="1484" w:type="dxa"/>
          </w:tcPr>
          <w:p w14:paraId="2E24AE70" w14:textId="7710D6FA" w:rsidR="007A6FC4" w:rsidRPr="006B2AF4" w:rsidRDefault="007A6FC4" w:rsidP="006B2AF4">
            <w:pPr>
              <w:suppressAutoHyphens/>
              <w:cnfStyle w:val="100000000000" w:firstRow="1" w:lastRow="0" w:firstColumn="0" w:lastColumn="0" w:oddVBand="0" w:evenVBand="0" w:oddHBand="0" w:evenHBand="0" w:firstRowFirstColumn="0" w:firstRowLastColumn="0" w:lastRowFirstColumn="0" w:lastRowLastColumn="0"/>
              <w:rPr>
                <w:rFonts w:cs="Arial"/>
                <w:bCs/>
                <w:sz w:val="18"/>
                <w:szCs w:val="16"/>
              </w:rPr>
            </w:pPr>
            <w:r>
              <w:rPr>
                <w:sz w:val="18"/>
                <w:szCs w:val="16"/>
              </w:rPr>
              <w:t>Measure Status</w:t>
            </w:r>
          </w:p>
        </w:tc>
        <w:tc>
          <w:tcPr>
            <w:tcW w:w="1560" w:type="dxa"/>
          </w:tcPr>
          <w:p w14:paraId="6678343A" w14:textId="0B8E10FF" w:rsidR="007A6FC4" w:rsidRPr="006B2AF4" w:rsidDel="00EA3B5F" w:rsidRDefault="007A6FC4" w:rsidP="006B2AF4">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Target Reduction in Pollutant / Emission from Measure</w:t>
            </w:r>
          </w:p>
        </w:tc>
        <w:tc>
          <w:tcPr>
            <w:tcW w:w="1252" w:type="dxa"/>
          </w:tcPr>
          <w:p w14:paraId="0397E008" w14:textId="6DB2E579" w:rsidR="007A6FC4" w:rsidRDefault="007A6FC4" w:rsidP="006B2AF4">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Key Performance Indicator</w:t>
            </w:r>
          </w:p>
        </w:tc>
        <w:tc>
          <w:tcPr>
            <w:tcW w:w="1317" w:type="dxa"/>
          </w:tcPr>
          <w:p w14:paraId="10417DD3" w14:textId="5C05ED46" w:rsidR="007A6FC4" w:rsidRDefault="007A6FC4" w:rsidP="006B2AF4">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Progress to Date</w:t>
            </w:r>
          </w:p>
        </w:tc>
        <w:tc>
          <w:tcPr>
            <w:tcW w:w="1849" w:type="dxa"/>
          </w:tcPr>
          <w:p w14:paraId="2D838A36" w14:textId="115C1A80" w:rsidR="007A6FC4" w:rsidRDefault="007A6FC4" w:rsidP="006B2AF4">
            <w:pPr>
              <w:suppressAutoHyphens/>
              <w:cnfStyle w:val="100000000000" w:firstRow="1" w:lastRow="0" w:firstColumn="0" w:lastColumn="0" w:oddVBand="0" w:evenVBand="0" w:oddHBand="0" w:evenHBand="0" w:firstRowFirstColumn="0" w:firstRowLastColumn="0" w:lastRowFirstColumn="0" w:lastRowLastColumn="0"/>
              <w:rPr>
                <w:sz w:val="18"/>
                <w:szCs w:val="16"/>
              </w:rPr>
            </w:pPr>
            <w:r>
              <w:rPr>
                <w:sz w:val="18"/>
                <w:szCs w:val="16"/>
              </w:rPr>
              <w:t>Comments/Potential Barriers to Implementation</w:t>
            </w:r>
          </w:p>
        </w:tc>
      </w:tr>
      <w:tr w:rsidR="00540ED4" w:rsidRPr="00E3664B" w14:paraId="0303AF5A" w14:textId="2ECD3FB0" w:rsidTr="00DF643F">
        <w:trPr>
          <w:trHeight w:val="697"/>
        </w:trPr>
        <w:tc>
          <w:tcPr>
            <w:cnfStyle w:val="001000000000" w:firstRow="0" w:lastRow="0" w:firstColumn="1" w:lastColumn="0" w:oddVBand="0" w:evenVBand="0" w:oddHBand="0" w:evenHBand="0" w:firstRowFirstColumn="0" w:firstRowLastColumn="0" w:lastRowFirstColumn="0" w:lastRowLastColumn="0"/>
            <w:tcW w:w="21193" w:type="dxa"/>
            <w:gridSpan w:val="16"/>
          </w:tcPr>
          <w:p w14:paraId="13110627" w14:textId="7982C31C" w:rsidR="00540ED4" w:rsidRPr="005D760F" w:rsidRDefault="00540ED4" w:rsidP="00540ED4">
            <w:pPr>
              <w:suppressAutoHyphens/>
              <w:rPr>
                <w:color w:val="FF0000"/>
                <w:sz w:val="18"/>
                <w:szCs w:val="18"/>
              </w:rPr>
            </w:pPr>
            <w:r w:rsidRPr="00DF643F">
              <w:rPr>
                <w:rFonts w:cs="Arial"/>
                <w:b/>
                <w:bCs/>
                <w:sz w:val="18"/>
                <w:szCs w:val="18"/>
              </w:rPr>
              <w:t>Priority Targeted Measures</w:t>
            </w:r>
          </w:p>
        </w:tc>
      </w:tr>
      <w:tr w:rsidR="00900435" w:rsidRPr="00A760BD" w14:paraId="5A2AA9CD"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4424C1D0" w14:textId="77777777" w:rsidR="00900435" w:rsidRPr="00A760BD" w:rsidRDefault="00900435" w:rsidP="00900435">
            <w:pPr>
              <w:suppressAutoHyphens/>
              <w:rPr>
                <w:rFonts w:cs="Arial"/>
                <w:sz w:val="18"/>
                <w:szCs w:val="18"/>
              </w:rPr>
            </w:pPr>
            <w:r w:rsidRPr="00A760BD">
              <w:rPr>
                <w:rFonts w:cs="Arial"/>
                <w:sz w:val="18"/>
                <w:szCs w:val="18"/>
              </w:rPr>
              <w:t>1</w:t>
            </w:r>
          </w:p>
        </w:tc>
        <w:tc>
          <w:tcPr>
            <w:tcW w:w="1502" w:type="dxa"/>
          </w:tcPr>
          <w:p w14:paraId="512C23E6" w14:textId="2883F5E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Clean Air Zone</w:t>
            </w:r>
          </w:p>
        </w:tc>
        <w:tc>
          <w:tcPr>
            <w:tcW w:w="1704" w:type="dxa"/>
          </w:tcPr>
          <w:p w14:paraId="256A1881" w14:textId="697D1B3F"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Promoting Low Emission Transport</w:t>
            </w:r>
          </w:p>
        </w:tc>
        <w:tc>
          <w:tcPr>
            <w:tcW w:w="1704" w:type="dxa"/>
          </w:tcPr>
          <w:p w14:paraId="723AE08E" w14:textId="7F8B1D8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Low Emission Zone (LEZ)</w:t>
            </w:r>
          </w:p>
        </w:tc>
        <w:tc>
          <w:tcPr>
            <w:tcW w:w="1068" w:type="dxa"/>
          </w:tcPr>
          <w:p w14:paraId="57C5A3AB" w14:textId="16F95FA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2023</w:t>
            </w:r>
          </w:p>
        </w:tc>
        <w:tc>
          <w:tcPr>
            <w:tcW w:w="1126" w:type="dxa"/>
          </w:tcPr>
          <w:p w14:paraId="5424A92B" w14:textId="77D72A6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2023</w:t>
            </w:r>
          </w:p>
        </w:tc>
        <w:tc>
          <w:tcPr>
            <w:tcW w:w="1339" w:type="dxa"/>
          </w:tcPr>
          <w:p w14:paraId="1D7AAC7E" w14:textId="1482E673"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NCC</w:t>
            </w:r>
          </w:p>
        </w:tc>
        <w:tc>
          <w:tcPr>
            <w:tcW w:w="924" w:type="dxa"/>
          </w:tcPr>
          <w:p w14:paraId="06381766" w14:textId="7CCF7741"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NCC</w:t>
            </w:r>
          </w:p>
        </w:tc>
        <w:tc>
          <w:tcPr>
            <w:tcW w:w="1089" w:type="dxa"/>
          </w:tcPr>
          <w:p w14:paraId="30E64B52" w14:textId="3E1F02A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No</w:t>
            </w:r>
          </w:p>
        </w:tc>
        <w:tc>
          <w:tcPr>
            <w:tcW w:w="1377" w:type="dxa"/>
          </w:tcPr>
          <w:p w14:paraId="0DE44329" w14:textId="46B4CACE"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Funded</w:t>
            </w:r>
          </w:p>
        </w:tc>
        <w:tc>
          <w:tcPr>
            <w:tcW w:w="1021" w:type="dxa"/>
          </w:tcPr>
          <w:p w14:paraId="08F1427B" w14:textId="20D52564"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DF643F">
              <w:rPr>
                <w:sz w:val="18"/>
                <w:szCs w:val="18"/>
              </w:rPr>
              <w:t>&gt; £10 million</w:t>
            </w:r>
          </w:p>
        </w:tc>
        <w:tc>
          <w:tcPr>
            <w:tcW w:w="1484" w:type="dxa"/>
          </w:tcPr>
          <w:p w14:paraId="2A902035" w14:textId="2C083E0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Ongoing</w:t>
            </w:r>
          </w:p>
        </w:tc>
        <w:tc>
          <w:tcPr>
            <w:tcW w:w="1560" w:type="dxa"/>
          </w:tcPr>
          <w:p w14:paraId="76305B94" w14:textId="53405E12" w:rsidR="00900435" w:rsidRPr="00DF643F"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DF643F">
              <w:rPr>
                <w:sz w:val="18"/>
                <w:szCs w:val="18"/>
              </w:rPr>
              <w:t xml:space="preserve">Reduction of up to 15.5 </w:t>
            </w:r>
            <w:r w:rsidRPr="00900435">
              <w:rPr>
                <w:sz w:val="18"/>
                <w:szCs w:val="18"/>
              </w:rPr>
              <w:t>µg/m</w:t>
            </w:r>
            <w:r w:rsidRPr="00900435">
              <w:rPr>
                <w:sz w:val="18"/>
                <w:szCs w:val="18"/>
                <w:vertAlign w:val="superscript"/>
              </w:rPr>
              <w:t>3</w:t>
            </w:r>
            <w:r w:rsidRPr="00900435">
              <w:rPr>
                <w:sz w:val="18"/>
                <w:szCs w:val="18"/>
              </w:rPr>
              <w:t xml:space="preserve"> </w:t>
            </w:r>
            <w:r w:rsidRPr="00DF643F">
              <w:rPr>
                <w:sz w:val="18"/>
                <w:szCs w:val="18"/>
              </w:rPr>
              <w:t>in annual mean NO</w:t>
            </w:r>
            <w:r w:rsidRPr="00DF643F">
              <w:rPr>
                <w:sz w:val="18"/>
                <w:szCs w:val="18"/>
                <w:vertAlign w:val="subscript"/>
              </w:rPr>
              <w:t>2</w:t>
            </w:r>
            <w:r w:rsidRPr="00DF643F">
              <w:rPr>
                <w:sz w:val="18"/>
                <w:szCs w:val="18"/>
              </w:rPr>
              <w:t xml:space="preserve"> concentration</w:t>
            </w:r>
          </w:p>
        </w:tc>
        <w:tc>
          <w:tcPr>
            <w:tcW w:w="1252" w:type="dxa"/>
          </w:tcPr>
          <w:p w14:paraId="38364429" w14:textId="6765B5F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Number of non-compliant vehicles travelling within CAZ area</w:t>
            </w:r>
          </w:p>
        </w:tc>
        <w:tc>
          <w:tcPr>
            <w:tcW w:w="1317" w:type="dxa"/>
          </w:tcPr>
          <w:p w14:paraId="14E1BB6E" w14:textId="4402FEB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CAZ was partially implemented in January 2023 and was fully operational in July 2023</w:t>
            </w:r>
          </w:p>
        </w:tc>
        <w:tc>
          <w:tcPr>
            <w:tcW w:w="1849" w:type="dxa"/>
          </w:tcPr>
          <w:p w14:paraId="32E018F8" w14:textId="1E024B5F"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r>
      <w:tr w:rsidR="00900435" w:rsidRPr="00A760BD" w14:paraId="313F93A5" w14:textId="77777777" w:rsidTr="00DF643F">
        <w:trPr>
          <w:trHeight w:val="552"/>
        </w:trPr>
        <w:tc>
          <w:tcPr>
            <w:cnfStyle w:val="001000000000" w:firstRow="0" w:lastRow="0" w:firstColumn="1" w:lastColumn="0" w:oddVBand="0" w:evenVBand="0" w:oddHBand="0" w:evenHBand="0" w:firstRowFirstColumn="0" w:firstRowLastColumn="0" w:lastRowFirstColumn="0" w:lastRowLastColumn="0"/>
            <w:tcW w:w="877" w:type="dxa"/>
          </w:tcPr>
          <w:p w14:paraId="31C0F0CB" w14:textId="77777777" w:rsidR="00900435" w:rsidRPr="00A760BD" w:rsidRDefault="00900435" w:rsidP="00900435">
            <w:pPr>
              <w:suppressAutoHyphens/>
              <w:rPr>
                <w:rFonts w:cs="Arial"/>
                <w:sz w:val="18"/>
                <w:szCs w:val="18"/>
              </w:rPr>
            </w:pPr>
            <w:r w:rsidRPr="00A760BD">
              <w:rPr>
                <w:rFonts w:cs="Arial"/>
                <w:sz w:val="18"/>
                <w:szCs w:val="18"/>
              </w:rPr>
              <w:t>2</w:t>
            </w:r>
          </w:p>
        </w:tc>
        <w:tc>
          <w:tcPr>
            <w:tcW w:w="1502" w:type="dxa"/>
          </w:tcPr>
          <w:p w14:paraId="51E274FC" w14:textId="41F212C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Bus Electrification</w:t>
            </w:r>
          </w:p>
        </w:tc>
        <w:tc>
          <w:tcPr>
            <w:tcW w:w="1704" w:type="dxa"/>
          </w:tcPr>
          <w:p w14:paraId="77AECE32" w14:textId="7EC7893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Vehicle Fleet Efficiency</w:t>
            </w:r>
          </w:p>
        </w:tc>
        <w:tc>
          <w:tcPr>
            <w:tcW w:w="1704" w:type="dxa"/>
          </w:tcPr>
          <w:p w14:paraId="08294E87" w14:textId="47E8589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Promoting Low Emission Public Transport</w:t>
            </w:r>
          </w:p>
        </w:tc>
        <w:tc>
          <w:tcPr>
            <w:tcW w:w="1068" w:type="dxa"/>
          </w:tcPr>
          <w:p w14:paraId="33B635FC" w14:textId="3E0D830E"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2026</w:t>
            </w:r>
          </w:p>
        </w:tc>
        <w:tc>
          <w:tcPr>
            <w:tcW w:w="1126" w:type="dxa"/>
          </w:tcPr>
          <w:p w14:paraId="7041CD13" w14:textId="379BE06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2030</w:t>
            </w:r>
          </w:p>
        </w:tc>
        <w:tc>
          <w:tcPr>
            <w:tcW w:w="1339" w:type="dxa"/>
          </w:tcPr>
          <w:p w14:paraId="27654B83" w14:textId="71FC2B0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NCC, NECA</w:t>
            </w:r>
          </w:p>
        </w:tc>
        <w:tc>
          <w:tcPr>
            <w:tcW w:w="924" w:type="dxa"/>
          </w:tcPr>
          <w:p w14:paraId="740EB2EF" w14:textId="3530C46A" w:rsidR="00900435" w:rsidRPr="00900435" w:rsidRDefault="00CF6FE3"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LUF, ZEBRA 2, TBC</w:t>
            </w:r>
          </w:p>
        </w:tc>
        <w:tc>
          <w:tcPr>
            <w:tcW w:w="1089" w:type="dxa"/>
          </w:tcPr>
          <w:p w14:paraId="72F36C90" w14:textId="720A948F"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No</w:t>
            </w:r>
          </w:p>
        </w:tc>
        <w:tc>
          <w:tcPr>
            <w:tcW w:w="1377" w:type="dxa"/>
          </w:tcPr>
          <w:p w14:paraId="7F98C652" w14:textId="1AF23201"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Partially Funded</w:t>
            </w:r>
          </w:p>
        </w:tc>
        <w:tc>
          <w:tcPr>
            <w:tcW w:w="1021" w:type="dxa"/>
          </w:tcPr>
          <w:p w14:paraId="22FD3B4A" w14:textId="5875142C"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lang w:eastAsia="en-GB"/>
              </w:rPr>
            </w:pPr>
            <w:r w:rsidRPr="00DF643F">
              <w:rPr>
                <w:sz w:val="18"/>
                <w:szCs w:val="18"/>
              </w:rPr>
              <w:t>&gt; £10 million</w:t>
            </w:r>
          </w:p>
        </w:tc>
        <w:tc>
          <w:tcPr>
            <w:tcW w:w="1484" w:type="dxa"/>
          </w:tcPr>
          <w:p w14:paraId="67D85754" w14:textId="1E93C49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Ongoing</w:t>
            </w:r>
          </w:p>
        </w:tc>
        <w:tc>
          <w:tcPr>
            <w:tcW w:w="1560" w:type="dxa"/>
          </w:tcPr>
          <w:p w14:paraId="719B1C5C" w14:textId="25E977D9" w:rsidR="00900435" w:rsidRPr="00DF643F"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sidRPr="00DF643F">
              <w:rPr>
                <w:sz w:val="18"/>
                <w:szCs w:val="18"/>
              </w:rPr>
              <w:t xml:space="preserve">Reduction of up to 2.9 </w:t>
            </w:r>
            <w:r w:rsidRPr="00900435">
              <w:rPr>
                <w:sz w:val="18"/>
                <w:szCs w:val="18"/>
              </w:rPr>
              <w:t>µg/m</w:t>
            </w:r>
            <w:r w:rsidRPr="00900435">
              <w:rPr>
                <w:sz w:val="18"/>
                <w:szCs w:val="18"/>
                <w:vertAlign w:val="superscript"/>
              </w:rPr>
              <w:t>3</w:t>
            </w:r>
            <w:r w:rsidRPr="00900435">
              <w:rPr>
                <w:sz w:val="18"/>
                <w:szCs w:val="18"/>
              </w:rPr>
              <w:t xml:space="preserve"> </w:t>
            </w:r>
            <w:r w:rsidRPr="00DF643F">
              <w:rPr>
                <w:sz w:val="18"/>
                <w:szCs w:val="18"/>
              </w:rPr>
              <w:t>in annual mean NO</w:t>
            </w:r>
            <w:r w:rsidRPr="00DF643F">
              <w:rPr>
                <w:sz w:val="18"/>
                <w:szCs w:val="18"/>
                <w:vertAlign w:val="subscript"/>
              </w:rPr>
              <w:t>2</w:t>
            </w:r>
            <w:r w:rsidRPr="00DF643F">
              <w:rPr>
                <w:sz w:val="18"/>
                <w:szCs w:val="18"/>
              </w:rPr>
              <w:t xml:space="preserve"> concentration</w:t>
            </w:r>
          </w:p>
        </w:tc>
        <w:tc>
          <w:tcPr>
            <w:tcW w:w="1252" w:type="dxa"/>
          </w:tcPr>
          <w:p w14:paraId="669BF65F" w14:textId="08A7930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Number of zero emissions buses</w:t>
            </w:r>
          </w:p>
        </w:tc>
        <w:tc>
          <w:tcPr>
            <w:tcW w:w="1317" w:type="dxa"/>
          </w:tcPr>
          <w:p w14:paraId="08478B95" w14:textId="545080A0"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1849" w:type="dxa"/>
          </w:tcPr>
          <w:p w14:paraId="3BC28A47" w14:textId="20B79D07" w:rsidR="00900435" w:rsidRPr="00900435" w:rsidRDefault="00280B52"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Potential barriers to implementation are cost and the need for host infrastructure at the depot location</w:t>
            </w:r>
            <w:r w:rsidR="00CF154A">
              <w:rPr>
                <w:rFonts w:cs="Arial"/>
                <w:sz w:val="18"/>
                <w:szCs w:val="18"/>
              </w:rPr>
              <w:t>s</w:t>
            </w:r>
            <w:r>
              <w:rPr>
                <w:rFonts w:cs="Arial"/>
                <w:sz w:val="18"/>
                <w:szCs w:val="18"/>
              </w:rPr>
              <w:t xml:space="preserve"> such as charging points, together with a recognition of short to medium term challenges of the range of those vehicles, especially those long-distance services such as the </w:t>
            </w:r>
            <w:r w:rsidR="00CF154A">
              <w:rPr>
                <w:rFonts w:cs="Arial"/>
                <w:sz w:val="18"/>
                <w:szCs w:val="18"/>
              </w:rPr>
              <w:t>buses</w:t>
            </w:r>
            <w:r>
              <w:rPr>
                <w:rFonts w:cs="Arial"/>
                <w:sz w:val="18"/>
                <w:szCs w:val="18"/>
              </w:rPr>
              <w:t xml:space="preserve"> going into Northumberland and Eldon Square into County Durham.</w:t>
            </w:r>
          </w:p>
        </w:tc>
      </w:tr>
      <w:tr w:rsidR="00900435" w:rsidRPr="00A760BD" w14:paraId="1E3D4075" w14:textId="77777777" w:rsidTr="00DF643F">
        <w:trPr>
          <w:trHeight w:val="552"/>
        </w:trPr>
        <w:tc>
          <w:tcPr>
            <w:cnfStyle w:val="001000000000" w:firstRow="0" w:lastRow="0" w:firstColumn="1" w:lastColumn="0" w:oddVBand="0" w:evenVBand="0" w:oddHBand="0" w:evenHBand="0" w:firstRowFirstColumn="0" w:firstRowLastColumn="0" w:lastRowFirstColumn="0" w:lastRowLastColumn="0"/>
            <w:tcW w:w="877" w:type="dxa"/>
          </w:tcPr>
          <w:p w14:paraId="6F0FF037" w14:textId="77777777" w:rsidR="00900435" w:rsidRPr="00A760BD" w:rsidRDefault="00900435" w:rsidP="00900435">
            <w:pPr>
              <w:suppressAutoHyphens/>
              <w:rPr>
                <w:rFonts w:cs="Arial"/>
                <w:sz w:val="18"/>
                <w:szCs w:val="18"/>
              </w:rPr>
            </w:pPr>
            <w:r w:rsidRPr="00A760BD">
              <w:rPr>
                <w:rFonts w:cs="Arial"/>
                <w:sz w:val="18"/>
                <w:szCs w:val="18"/>
              </w:rPr>
              <w:t>3</w:t>
            </w:r>
          </w:p>
        </w:tc>
        <w:tc>
          <w:tcPr>
            <w:tcW w:w="1502" w:type="dxa"/>
          </w:tcPr>
          <w:p w14:paraId="517F4E90" w14:textId="0AB960A8"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 xml:space="preserve">Exposure Limitation at </w:t>
            </w:r>
            <w:r w:rsidRPr="00DF643F">
              <w:rPr>
                <w:sz w:val="18"/>
                <w:szCs w:val="18"/>
              </w:rPr>
              <w:lastRenderedPageBreak/>
              <w:t>Stephenson Road</w:t>
            </w:r>
          </w:p>
        </w:tc>
        <w:tc>
          <w:tcPr>
            <w:tcW w:w="1704" w:type="dxa"/>
          </w:tcPr>
          <w:p w14:paraId="1BF5C966" w14:textId="04BDB9E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lastRenderedPageBreak/>
              <w:t>Other</w:t>
            </w:r>
          </w:p>
        </w:tc>
        <w:tc>
          <w:tcPr>
            <w:tcW w:w="1704" w:type="dxa"/>
          </w:tcPr>
          <w:p w14:paraId="3F3C14CA" w14:textId="7D92184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Other</w:t>
            </w:r>
          </w:p>
        </w:tc>
        <w:tc>
          <w:tcPr>
            <w:tcW w:w="1068" w:type="dxa"/>
          </w:tcPr>
          <w:p w14:paraId="7EF64ED6" w14:textId="259FEB55"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2026</w:t>
            </w:r>
          </w:p>
        </w:tc>
        <w:tc>
          <w:tcPr>
            <w:tcW w:w="1126" w:type="dxa"/>
          </w:tcPr>
          <w:p w14:paraId="4A3B768E" w14:textId="05540A67"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2030</w:t>
            </w:r>
          </w:p>
        </w:tc>
        <w:tc>
          <w:tcPr>
            <w:tcW w:w="1339" w:type="dxa"/>
          </w:tcPr>
          <w:p w14:paraId="66400784" w14:textId="68BA469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 xml:space="preserve">NCC </w:t>
            </w:r>
          </w:p>
        </w:tc>
        <w:tc>
          <w:tcPr>
            <w:tcW w:w="924" w:type="dxa"/>
          </w:tcPr>
          <w:p w14:paraId="416D3C4D" w14:textId="00F77B4E"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NCC</w:t>
            </w:r>
          </w:p>
        </w:tc>
        <w:tc>
          <w:tcPr>
            <w:tcW w:w="1089" w:type="dxa"/>
          </w:tcPr>
          <w:p w14:paraId="16AF3EA6" w14:textId="4D31FC5F"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No</w:t>
            </w:r>
          </w:p>
        </w:tc>
        <w:tc>
          <w:tcPr>
            <w:tcW w:w="1377" w:type="dxa"/>
          </w:tcPr>
          <w:p w14:paraId="5C0336A0" w14:textId="7CFB324A"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745339">
              <w:rPr>
                <w:sz w:val="18"/>
                <w:szCs w:val="18"/>
              </w:rPr>
              <w:t>Partially Funded</w:t>
            </w:r>
          </w:p>
        </w:tc>
        <w:tc>
          <w:tcPr>
            <w:tcW w:w="1021" w:type="dxa"/>
          </w:tcPr>
          <w:p w14:paraId="02538D8B" w14:textId="11AB9E3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£50k - £100k</w:t>
            </w:r>
          </w:p>
        </w:tc>
        <w:tc>
          <w:tcPr>
            <w:tcW w:w="1484" w:type="dxa"/>
          </w:tcPr>
          <w:p w14:paraId="5A69B2CF" w14:textId="7FE20F7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Not started</w:t>
            </w:r>
          </w:p>
        </w:tc>
        <w:tc>
          <w:tcPr>
            <w:tcW w:w="1560" w:type="dxa"/>
          </w:tcPr>
          <w:p w14:paraId="23FD9A93" w14:textId="1E78B78E" w:rsidR="00900435" w:rsidRPr="00DF643F" w:rsidRDefault="006A658E"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highlight w:val="yellow"/>
              </w:rPr>
            </w:pPr>
            <w:r>
              <w:rPr>
                <w:sz w:val="18"/>
                <w:szCs w:val="18"/>
              </w:rPr>
              <w:t>Quantification work in process</w:t>
            </w:r>
          </w:p>
        </w:tc>
        <w:tc>
          <w:tcPr>
            <w:tcW w:w="1252" w:type="dxa"/>
          </w:tcPr>
          <w:p w14:paraId="531FCF0B" w14:textId="0268347A"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Compliance with short-term mean NO</w:t>
            </w:r>
            <w:r w:rsidRPr="00DF643F">
              <w:rPr>
                <w:rFonts w:cs="Arial"/>
                <w:sz w:val="18"/>
                <w:szCs w:val="18"/>
                <w:vertAlign w:val="subscript"/>
              </w:rPr>
              <w:t>2</w:t>
            </w:r>
            <w:r>
              <w:rPr>
                <w:rFonts w:cs="Arial"/>
                <w:sz w:val="18"/>
                <w:szCs w:val="18"/>
              </w:rPr>
              <w:t xml:space="preserve"> </w:t>
            </w:r>
            <w:r>
              <w:rPr>
                <w:rFonts w:cs="Arial"/>
                <w:sz w:val="18"/>
                <w:szCs w:val="18"/>
              </w:rPr>
              <w:lastRenderedPageBreak/>
              <w:t>objective and annual mean Limit Value</w:t>
            </w:r>
          </w:p>
        </w:tc>
        <w:tc>
          <w:tcPr>
            <w:tcW w:w="1317" w:type="dxa"/>
          </w:tcPr>
          <w:p w14:paraId="0656CA71" w14:textId="2585190E"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lastRenderedPageBreak/>
              <w:t>-</w:t>
            </w:r>
          </w:p>
        </w:tc>
        <w:tc>
          <w:tcPr>
            <w:tcW w:w="1849" w:type="dxa"/>
          </w:tcPr>
          <w:p w14:paraId="4AA104AD" w14:textId="18267C5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sz w:val="18"/>
                <w:szCs w:val="18"/>
              </w:rPr>
              <w:t xml:space="preserve">NCC is commissioning work into identifying whether pavement </w:t>
            </w:r>
            <w:r w:rsidRPr="00DF643F">
              <w:rPr>
                <w:sz w:val="18"/>
                <w:szCs w:val="18"/>
              </w:rPr>
              <w:lastRenderedPageBreak/>
              <w:t xml:space="preserve">diversion or barriers would be successful in reducing short-term exposure on Stephenson </w:t>
            </w:r>
            <w:r w:rsidR="008F2E66">
              <w:rPr>
                <w:sz w:val="18"/>
                <w:szCs w:val="18"/>
              </w:rPr>
              <w:t>Road</w:t>
            </w:r>
          </w:p>
        </w:tc>
      </w:tr>
      <w:tr w:rsidR="00540ED4" w:rsidRPr="00A760BD" w14:paraId="718C5DC1" w14:textId="77777777" w:rsidTr="00DF643F">
        <w:trPr>
          <w:trHeight w:val="552"/>
        </w:trPr>
        <w:tc>
          <w:tcPr>
            <w:cnfStyle w:val="001000000000" w:firstRow="0" w:lastRow="0" w:firstColumn="1" w:lastColumn="0" w:oddVBand="0" w:evenVBand="0" w:oddHBand="0" w:evenHBand="0" w:firstRowFirstColumn="0" w:firstRowLastColumn="0" w:lastRowFirstColumn="0" w:lastRowLastColumn="0"/>
            <w:tcW w:w="21193" w:type="dxa"/>
            <w:gridSpan w:val="16"/>
          </w:tcPr>
          <w:p w14:paraId="47250061" w14:textId="165858CF" w:rsidR="00540ED4" w:rsidRPr="00DF643F" w:rsidRDefault="00540ED4" w:rsidP="000D1508">
            <w:pPr>
              <w:suppressAutoHyphens/>
              <w:rPr>
                <w:rFonts w:cs="Arial"/>
                <w:b/>
                <w:bCs/>
                <w:sz w:val="18"/>
                <w:szCs w:val="18"/>
              </w:rPr>
            </w:pPr>
            <w:r w:rsidRPr="00DF643F">
              <w:rPr>
                <w:rFonts w:cs="Arial"/>
                <w:b/>
                <w:bCs/>
                <w:sz w:val="18"/>
                <w:szCs w:val="18"/>
              </w:rPr>
              <w:lastRenderedPageBreak/>
              <w:t>Supportive Strategic Measures</w:t>
            </w:r>
          </w:p>
        </w:tc>
      </w:tr>
      <w:tr w:rsidR="00900435" w:rsidRPr="00A760BD" w14:paraId="731BB370"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73EA07D4" w14:textId="77777777" w:rsidR="00900435" w:rsidRPr="00A760BD" w:rsidRDefault="00900435" w:rsidP="00900435">
            <w:pPr>
              <w:suppressAutoHyphens/>
              <w:rPr>
                <w:rFonts w:cs="Arial"/>
                <w:sz w:val="18"/>
                <w:szCs w:val="18"/>
              </w:rPr>
            </w:pPr>
            <w:r>
              <w:rPr>
                <w:rFonts w:cs="Arial"/>
                <w:sz w:val="18"/>
                <w:szCs w:val="18"/>
              </w:rPr>
              <w:t>4</w:t>
            </w:r>
          </w:p>
        </w:tc>
        <w:tc>
          <w:tcPr>
            <w:tcW w:w="1502" w:type="dxa"/>
          </w:tcPr>
          <w:p w14:paraId="743B3457" w14:textId="59CA4ED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Local Plan</w:t>
            </w:r>
          </w:p>
        </w:tc>
        <w:tc>
          <w:tcPr>
            <w:tcW w:w="1704" w:type="dxa"/>
          </w:tcPr>
          <w:p w14:paraId="1E53F634" w14:textId="32A4243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Policy Guidance and Development Control</w:t>
            </w:r>
          </w:p>
        </w:tc>
        <w:tc>
          <w:tcPr>
            <w:tcW w:w="1704" w:type="dxa"/>
          </w:tcPr>
          <w:p w14:paraId="1618E177" w14:textId="6D2D794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Air Quality Planning and Policy Guidance</w:t>
            </w:r>
          </w:p>
        </w:tc>
        <w:tc>
          <w:tcPr>
            <w:tcW w:w="1068" w:type="dxa"/>
          </w:tcPr>
          <w:p w14:paraId="538E4B06" w14:textId="04F637F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2028</w:t>
            </w:r>
          </w:p>
        </w:tc>
        <w:tc>
          <w:tcPr>
            <w:tcW w:w="1126" w:type="dxa"/>
          </w:tcPr>
          <w:p w14:paraId="14E1193F" w14:textId="0AA0DA02"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1A92473A" w14:textId="27311B7A"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924" w:type="dxa"/>
          </w:tcPr>
          <w:p w14:paraId="78C33E87" w14:textId="3CA9E91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1089" w:type="dxa"/>
          </w:tcPr>
          <w:p w14:paraId="7542C5AA" w14:textId="28C51E9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w:t>
            </w:r>
          </w:p>
        </w:tc>
        <w:tc>
          <w:tcPr>
            <w:tcW w:w="1377" w:type="dxa"/>
          </w:tcPr>
          <w:p w14:paraId="1DA5F815" w14:textId="34068918"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Funded</w:t>
            </w:r>
          </w:p>
        </w:tc>
        <w:tc>
          <w:tcPr>
            <w:tcW w:w="1021" w:type="dxa"/>
          </w:tcPr>
          <w:p w14:paraId="032AF1B5" w14:textId="4470B91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&lt;£10k</w:t>
            </w:r>
          </w:p>
        </w:tc>
        <w:tc>
          <w:tcPr>
            <w:tcW w:w="1484" w:type="dxa"/>
          </w:tcPr>
          <w:p w14:paraId="21876973" w14:textId="38EA8B9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In progress</w:t>
            </w:r>
          </w:p>
        </w:tc>
        <w:tc>
          <w:tcPr>
            <w:tcW w:w="1560" w:type="dxa"/>
          </w:tcPr>
          <w:p w14:paraId="62E51933" w14:textId="28402BAD"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Direct LAQ benefit not quantifiable.</w:t>
            </w:r>
          </w:p>
        </w:tc>
        <w:tc>
          <w:tcPr>
            <w:tcW w:w="1252" w:type="dxa"/>
          </w:tcPr>
          <w:p w14:paraId="0A04A1C2" w14:textId="46607E0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Production of Local Plan</w:t>
            </w:r>
          </w:p>
        </w:tc>
        <w:tc>
          <w:tcPr>
            <w:tcW w:w="1317" w:type="dxa"/>
          </w:tcPr>
          <w:p w14:paraId="6EBE35FD" w14:textId="06CA1439"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1849" w:type="dxa"/>
          </w:tcPr>
          <w:p w14:paraId="122A12B0" w14:textId="7EB64D0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The new joint Newcastle-Gateshead Local Plan is at an early stage of development. Air quality will be considered throughout the development lifecycle.</w:t>
            </w:r>
          </w:p>
        </w:tc>
      </w:tr>
      <w:tr w:rsidR="00900435" w:rsidRPr="00A760BD" w14:paraId="79BAC001"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08BFD729" w14:textId="77777777" w:rsidR="00900435" w:rsidRPr="00A760BD" w:rsidRDefault="00900435" w:rsidP="00900435">
            <w:pPr>
              <w:suppressAutoHyphens/>
              <w:rPr>
                <w:rFonts w:cs="Arial"/>
                <w:sz w:val="18"/>
                <w:szCs w:val="18"/>
              </w:rPr>
            </w:pPr>
            <w:r>
              <w:rPr>
                <w:rFonts w:cs="Arial"/>
                <w:sz w:val="18"/>
                <w:szCs w:val="18"/>
              </w:rPr>
              <w:t>5</w:t>
            </w:r>
          </w:p>
        </w:tc>
        <w:tc>
          <w:tcPr>
            <w:tcW w:w="1502" w:type="dxa"/>
          </w:tcPr>
          <w:p w14:paraId="42AE02F5" w14:textId="4ADD89A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Movement Strategy</w:t>
            </w:r>
          </w:p>
        </w:tc>
        <w:tc>
          <w:tcPr>
            <w:tcW w:w="1704" w:type="dxa"/>
          </w:tcPr>
          <w:p w14:paraId="28B43A49" w14:textId="4C7D3B4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Policy Guidance and Development Control</w:t>
            </w:r>
          </w:p>
        </w:tc>
        <w:tc>
          <w:tcPr>
            <w:tcW w:w="1704" w:type="dxa"/>
          </w:tcPr>
          <w:p w14:paraId="252CCEB9" w14:textId="4E92078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Other policy</w:t>
            </w:r>
          </w:p>
        </w:tc>
        <w:tc>
          <w:tcPr>
            <w:tcW w:w="1068" w:type="dxa"/>
          </w:tcPr>
          <w:p w14:paraId="43035EA2" w14:textId="0BDCFE73"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2026</w:t>
            </w:r>
          </w:p>
        </w:tc>
        <w:tc>
          <w:tcPr>
            <w:tcW w:w="1126" w:type="dxa"/>
          </w:tcPr>
          <w:p w14:paraId="73523501" w14:textId="5F0AFA07"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33C8647F" w14:textId="607F9006"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924" w:type="dxa"/>
          </w:tcPr>
          <w:p w14:paraId="29C41CCD" w14:textId="5F76AE4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1089" w:type="dxa"/>
          </w:tcPr>
          <w:p w14:paraId="6391B4F2" w14:textId="50B583FE"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w:t>
            </w:r>
          </w:p>
        </w:tc>
        <w:tc>
          <w:tcPr>
            <w:tcW w:w="1377" w:type="dxa"/>
          </w:tcPr>
          <w:p w14:paraId="67D784E6" w14:textId="2A24F49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Funded</w:t>
            </w:r>
          </w:p>
        </w:tc>
        <w:tc>
          <w:tcPr>
            <w:tcW w:w="1021" w:type="dxa"/>
          </w:tcPr>
          <w:p w14:paraId="5212555A" w14:textId="1DCB865E"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&lt;£10k</w:t>
            </w:r>
          </w:p>
        </w:tc>
        <w:tc>
          <w:tcPr>
            <w:tcW w:w="1484" w:type="dxa"/>
          </w:tcPr>
          <w:p w14:paraId="246149D2" w14:textId="10D16B6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In progress</w:t>
            </w:r>
          </w:p>
        </w:tc>
        <w:tc>
          <w:tcPr>
            <w:tcW w:w="1560" w:type="dxa"/>
          </w:tcPr>
          <w:p w14:paraId="4359B4E3" w14:textId="2B5CFCB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Direct LAQ benefit not quantifiable.</w:t>
            </w:r>
          </w:p>
        </w:tc>
        <w:tc>
          <w:tcPr>
            <w:tcW w:w="1252" w:type="dxa"/>
          </w:tcPr>
          <w:p w14:paraId="637D39C3" w14:textId="24699C4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Production of Movement Strategy</w:t>
            </w:r>
          </w:p>
        </w:tc>
        <w:tc>
          <w:tcPr>
            <w:tcW w:w="1317" w:type="dxa"/>
          </w:tcPr>
          <w:p w14:paraId="561DCAC0" w14:textId="7C65913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Consultation held in late 2024</w:t>
            </w:r>
          </w:p>
        </w:tc>
        <w:tc>
          <w:tcPr>
            <w:tcW w:w="1849" w:type="dxa"/>
          </w:tcPr>
          <w:p w14:paraId="4FF80A94" w14:textId="1ABE536D"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This strategic framework will guide long-term planning of transport in Newcastle up to 2045. Includes aim to “create safer and more vibrant places for people to live, work, study, and play by reducing traffic and improving air quality”.</w:t>
            </w:r>
          </w:p>
        </w:tc>
      </w:tr>
      <w:tr w:rsidR="00900435" w:rsidRPr="00D80CF9" w14:paraId="513EC7BB"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0C64EA51" w14:textId="77777777" w:rsidR="00900435" w:rsidRPr="00D80CF9" w:rsidRDefault="00900435" w:rsidP="00900435">
            <w:pPr>
              <w:suppressAutoHyphens/>
              <w:rPr>
                <w:rFonts w:cs="Arial"/>
                <w:sz w:val="18"/>
                <w:szCs w:val="18"/>
              </w:rPr>
            </w:pPr>
            <w:r>
              <w:rPr>
                <w:rFonts w:cs="Arial"/>
                <w:sz w:val="18"/>
                <w:szCs w:val="18"/>
              </w:rPr>
              <w:lastRenderedPageBreak/>
              <w:t>6</w:t>
            </w:r>
          </w:p>
        </w:tc>
        <w:tc>
          <w:tcPr>
            <w:tcW w:w="1502" w:type="dxa"/>
          </w:tcPr>
          <w:p w14:paraId="167DD3F6" w14:textId="3490F01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Active Travel Investment</w:t>
            </w:r>
          </w:p>
        </w:tc>
        <w:tc>
          <w:tcPr>
            <w:tcW w:w="1704" w:type="dxa"/>
          </w:tcPr>
          <w:p w14:paraId="7439301F" w14:textId="3F6A646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Promoting Travel Alternatives</w:t>
            </w:r>
          </w:p>
        </w:tc>
        <w:tc>
          <w:tcPr>
            <w:tcW w:w="1704" w:type="dxa"/>
          </w:tcPr>
          <w:p w14:paraId="50F81876" w14:textId="0F32960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Other</w:t>
            </w:r>
          </w:p>
        </w:tc>
        <w:tc>
          <w:tcPr>
            <w:tcW w:w="1068" w:type="dxa"/>
          </w:tcPr>
          <w:p w14:paraId="58CF42CE" w14:textId="0399D209"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2030</w:t>
            </w:r>
          </w:p>
        </w:tc>
        <w:tc>
          <w:tcPr>
            <w:tcW w:w="1126" w:type="dxa"/>
          </w:tcPr>
          <w:p w14:paraId="2242ADCF" w14:textId="4D4D90BA"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731290EC" w14:textId="5A7118AA"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NECA</w:t>
            </w:r>
          </w:p>
        </w:tc>
        <w:tc>
          <w:tcPr>
            <w:tcW w:w="924" w:type="dxa"/>
          </w:tcPr>
          <w:p w14:paraId="2A4EACD0" w14:textId="753A8499"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133517">
              <w:rPr>
                <w:rFonts w:cs="Arial"/>
                <w:sz w:val="18"/>
                <w:szCs w:val="18"/>
              </w:rPr>
              <w:t>TBC</w:t>
            </w:r>
          </w:p>
        </w:tc>
        <w:tc>
          <w:tcPr>
            <w:tcW w:w="1089" w:type="dxa"/>
          </w:tcPr>
          <w:p w14:paraId="274883CD" w14:textId="2629F059"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w:t>
            </w:r>
          </w:p>
        </w:tc>
        <w:tc>
          <w:tcPr>
            <w:tcW w:w="1377" w:type="dxa"/>
          </w:tcPr>
          <w:p w14:paraId="23F519F4" w14:textId="60E7C00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Partially Funded</w:t>
            </w:r>
          </w:p>
        </w:tc>
        <w:tc>
          <w:tcPr>
            <w:tcW w:w="1021" w:type="dxa"/>
          </w:tcPr>
          <w:p w14:paraId="0CF16E40" w14:textId="6590308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£500k - £1 million</w:t>
            </w:r>
          </w:p>
        </w:tc>
        <w:tc>
          <w:tcPr>
            <w:tcW w:w="1484" w:type="dxa"/>
          </w:tcPr>
          <w:p w14:paraId="251F411A" w14:textId="0C310346"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In progress</w:t>
            </w:r>
          </w:p>
        </w:tc>
        <w:tc>
          <w:tcPr>
            <w:tcW w:w="1560" w:type="dxa"/>
          </w:tcPr>
          <w:p w14:paraId="3B115099" w14:textId="4C277988"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 specific target reduction identified</w:t>
            </w:r>
          </w:p>
        </w:tc>
        <w:tc>
          <w:tcPr>
            <w:tcW w:w="1252" w:type="dxa"/>
          </w:tcPr>
          <w:p w14:paraId="224DC25E" w14:textId="6D436C1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Miles of active travel infrastructure</w:t>
            </w:r>
          </w:p>
        </w:tc>
        <w:tc>
          <w:tcPr>
            <w:tcW w:w="1317" w:type="dxa"/>
          </w:tcPr>
          <w:p w14:paraId="1C266040" w14:textId="7B278D7C"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1849" w:type="dxa"/>
          </w:tcPr>
          <w:p w14:paraId="4BE8047C" w14:textId="77777777" w:rsid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Ongoing investment in walking and cycling infrastructure in line with the North East Active Travel Strategy</w:t>
            </w:r>
          </w:p>
          <w:p w14:paraId="07473166" w14:textId="2D494DCD" w:rsidR="00405F9F" w:rsidRPr="00900435" w:rsidRDefault="00405F9F"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There is potential for knock-on air quality impacts of active travel schemes / public realm works for example when they involve the diversion of road traffic. T</w:t>
            </w:r>
            <w:r w:rsidRPr="00405F9F">
              <w:rPr>
                <w:rFonts w:cs="Arial"/>
                <w:sz w:val="18"/>
                <w:szCs w:val="18"/>
              </w:rPr>
              <w:t xml:space="preserve">hese potential outcomes will be screened to determine where targeted local air quality assessments are required. </w:t>
            </w:r>
          </w:p>
        </w:tc>
      </w:tr>
      <w:tr w:rsidR="00900435" w:rsidRPr="00A760BD" w14:paraId="39CB3675"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70813B2E" w14:textId="77777777" w:rsidR="00900435" w:rsidRPr="00A760BD" w:rsidRDefault="00900435" w:rsidP="00900435">
            <w:pPr>
              <w:suppressAutoHyphens/>
              <w:rPr>
                <w:rFonts w:cs="Arial"/>
                <w:sz w:val="18"/>
                <w:szCs w:val="18"/>
              </w:rPr>
            </w:pPr>
            <w:r>
              <w:rPr>
                <w:rFonts w:cs="Arial"/>
                <w:sz w:val="18"/>
                <w:szCs w:val="18"/>
              </w:rPr>
              <w:t>7</w:t>
            </w:r>
          </w:p>
        </w:tc>
        <w:tc>
          <w:tcPr>
            <w:tcW w:w="1502" w:type="dxa"/>
          </w:tcPr>
          <w:p w14:paraId="28C84348" w14:textId="146B6A9E"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Travel Cards</w:t>
            </w:r>
          </w:p>
        </w:tc>
        <w:tc>
          <w:tcPr>
            <w:tcW w:w="1704" w:type="dxa"/>
          </w:tcPr>
          <w:p w14:paraId="25C9E678" w14:textId="4D5F4D7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Promoting Travel Alternatives</w:t>
            </w:r>
          </w:p>
        </w:tc>
        <w:tc>
          <w:tcPr>
            <w:tcW w:w="1704" w:type="dxa"/>
          </w:tcPr>
          <w:p w14:paraId="4D9B3DBE" w14:textId="0342B45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Other</w:t>
            </w:r>
          </w:p>
        </w:tc>
        <w:tc>
          <w:tcPr>
            <w:tcW w:w="1068" w:type="dxa"/>
          </w:tcPr>
          <w:p w14:paraId="579C8C0C" w14:textId="70535EF6"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2025</w:t>
            </w:r>
          </w:p>
        </w:tc>
        <w:tc>
          <w:tcPr>
            <w:tcW w:w="1126" w:type="dxa"/>
          </w:tcPr>
          <w:p w14:paraId="2BB58306" w14:textId="0BC2D892"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6D704EC6" w14:textId="5DA44C5B"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NECA, Nexus</w:t>
            </w:r>
          </w:p>
        </w:tc>
        <w:tc>
          <w:tcPr>
            <w:tcW w:w="924" w:type="dxa"/>
          </w:tcPr>
          <w:p w14:paraId="088AFAB8" w14:textId="03122EB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Nexus</w:t>
            </w:r>
          </w:p>
        </w:tc>
        <w:tc>
          <w:tcPr>
            <w:tcW w:w="1089" w:type="dxa"/>
          </w:tcPr>
          <w:p w14:paraId="56C110D3" w14:textId="6B967B9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w:t>
            </w:r>
          </w:p>
        </w:tc>
        <w:tc>
          <w:tcPr>
            <w:tcW w:w="1377" w:type="dxa"/>
          </w:tcPr>
          <w:p w14:paraId="47AF6065" w14:textId="164CAA2E"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Funded</w:t>
            </w:r>
          </w:p>
        </w:tc>
        <w:tc>
          <w:tcPr>
            <w:tcW w:w="1021" w:type="dxa"/>
          </w:tcPr>
          <w:p w14:paraId="2E11D231" w14:textId="4AAF5E08"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&lt;£10k</w:t>
            </w:r>
          </w:p>
        </w:tc>
        <w:tc>
          <w:tcPr>
            <w:tcW w:w="1484" w:type="dxa"/>
          </w:tcPr>
          <w:p w14:paraId="7CB970EC" w14:textId="44B7421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In progress</w:t>
            </w:r>
          </w:p>
        </w:tc>
        <w:tc>
          <w:tcPr>
            <w:tcW w:w="1560" w:type="dxa"/>
          </w:tcPr>
          <w:p w14:paraId="712E06BE" w14:textId="456FE08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Direct LAQ benefit not quantifiable.</w:t>
            </w:r>
          </w:p>
        </w:tc>
        <w:tc>
          <w:tcPr>
            <w:tcW w:w="1252" w:type="dxa"/>
          </w:tcPr>
          <w:p w14:paraId="0DC58E5A" w14:textId="38EFAAE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Number of travel cards issued</w:t>
            </w:r>
          </w:p>
        </w:tc>
        <w:tc>
          <w:tcPr>
            <w:tcW w:w="1317" w:type="dxa"/>
          </w:tcPr>
          <w:p w14:paraId="6EF2D8C0" w14:textId="2FF7791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Travel card schemes in place</w:t>
            </w:r>
          </w:p>
        </w:tc>
        <w:tc>
          <w:tcPr>
            <w:tcW w:w="1849" w:type="dxa"/>
          </w:tcPr>
          <w:p w14:paraId="75723795" w14:textId="1AFA119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Nexus Corporate Metro Season Ticket scheme. Concessionary passes available for children, older people and people with disabilities.</w:t>
            </w:r>
          </w:p>
        </w:tc>
      </w:tr>
      <w:tr w:rsidR="00900435" w:rsidRPr="00A760BD" w14:paraId="7251A114"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43F4EC90" w14:textId="77777777" w:rsidR="00900435" w:rsidRDefault="00900435" w:rsidP="00900435">
            <w:pPr>
              <w:suppressAutoHyphens/>
              <w:rPr>
                <w:rFonts w:cs="Arial"/>
                <w:sz w:val="18"/>
                <w:szCs w:val="18"/>
              </w:rPr>
            </w:pPr>
            <w:r>
              <w:rPr>
                <w:rFonts w:cs="Arial"/>
                <w:sz w:val="18"/>
                <w:szCs w:val="18"/>
              </w:rPr>
              <w:t>8</w:t>
            </w:r>
          </w:p>
        </w:tc>
        <w:tc>
          <w:tcPr>
            <w:tcW w:w="1502" w:type="dxa"/>
          </w:tcPr>
          <w:p w14:paraId="262423C9" w14:textId="33D7EE32"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Smoke Control Area Education and Enforcement</w:t>
            </w:r>
          </w:p>
        </w:tc>
        <w:tc>
          <w:tcPr>
            <w:tcW w:w="1704" w:type="dxa"/>
          </w:tcPr>
          <w:p w14:paraId="537D96D5" w14:textId="2579484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Other</w:t>
            </w:r>
          </w:p>
        </w:tc>
        <w:tc>
          <w:tcPr>
            <w:tcW w:w="1704" w:type="dxa"/>
          </w:tcPr>
          <w:p w14:paraId="141047CB" w14:textId="2DB1505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Other</w:t>
            </w:r>
          </w:p>
        </w:tc>
        <w:tc>
          <w:tcPr>
            <w:tcW w:w="1068" w:type="dxa"/>
          </w:tcPr>
          <w:p w14:paraId="4F9EE520" w14:textId="06638681"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2025</w:t>
            </w:r>
          </w:p>
        </w:tc>
        <w:tc>
          <w:tcPr>
            <w:tcW w:w="1126" w:type="dxa"/>
          </w:tcPr>
          <w:p w14:paraId="1DC8E72D" w14:textId="177D8AA0"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3F596810" w14:textId="4FD88601"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Environmental Health</w:t>
            </w:r>
          </w:p>
        </w:tc>
        <w:tc>
          <w:tcPr>
            <w:tcW w:w="924" w:type="dxa"/>
          </w:tcPr>
          <w:p w14:paraId="63FA08EC" w14:textId="4099B24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1089" w:type="dxa"/>
          </w:tcPr>
          <w:p w14:paraId="0A354125" w14:textId="63580B9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w:t>
            </w:r>
          </w:p>
        </w:tc>
        <w:tc>
          <w:tcPr>
            <w:tcW w:w="1377" w:type="dxa"/>
          </w:tcPr>
          <w:p w14:paraId="3810E223" w14:textId="603B2D9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Funded</w:t>
            </w:r>
          </w:p>
        </w:tc>
        <w:tc>
          <w:tcPr>
            <w:tcW w:w="1021" w:type="dxa"/>
          </w:tcPr>
          <w:p w14:paraId="7AC02D4E" w14:textId="687A881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&lt; £10k</w:t>
            </w:r>
          </w:p>
        </w:tc>
        <w:tc>
          <w:tcPr>
            <w:tcW w:w="1484" w:type="dxa"/>
          </w:tcPr>
          <w:p w14:paraId="39970C50" w14:textId="3FC3D3A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In progress</w:t>
            </w:r>
          </w:p>
        </w:tc>
        <w:tc>
          <w:tcPr>
            <w:tcW w:w="1560" w:type="dxa"/>
          </w:tcPr>
          <w:p w14:paraId="72C02004" w14:textId="3959AC3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Direct LAQ benefit not quantifiable.</w:t>
            </w:r>
          </w:p>
        </w:tc>
        <w:tc>
          <w:tcPr>
            <w:tcW w:w="1252" w:type="dxa"/>
          </w:tcPr>
          <w:p w14:paraId="4F993A2E" w14:textId="1BBBE08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Number of complaints</w:t>
            </w:r>
          </w:p>
        </w:tc>
        <w:tc>
          <w:tcPr>
            <w:tcW w:w="1317" w:type="dxa"/>
          </w:tcPr>
          <w:p w14:paraId="4459D2F3" w14:textId="0EB605A1"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p>
        </w:tc>
        <w:tc>
          <w:tcPr>
            <w:tcW w:w="1849" w:type="dxa"/>
          </w:tcPr>
          <w:p w14:paraId="44FE7EC2" w14:textId="53F44AF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Encourage the correct use of solid fuel appliances</w:t>
            </w:r>
          </w:p>
        </w:tc>
      </w:tr>
      <w:tr w:rsidR="00900435" w:rsidRPr="00A760BD" w14:paraId="56D2857E"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409D7CD8" w14:textId="77777777" w:rsidR="00900435" w:rsidRPr="00A760BD" w:rsidRDefault="00900435" w:rsidP="00900435">
            <w:pPr>
              <w:suppressAutoHyphens/>
              <w:rPr>
                <w:rFonts w:cs="Arial"/>
                <w:sz w:val="18"/>
                <w:szCs w:val="18"/>
              </w:rPr>
            </w:pPr>
            <w:r>
              <w:rPr>
                <w:rFonts w:cs="Arial"/>
                <w:sz w:val="18"/>
                <w:szCs w:val="18"/>
              </w:rPr>
              <w:lastRenderedPageBreak/>
              <w:t>9</w:t>
            </w:r>
          </w:p>
        </w:tc>
        <w:tc>
          <w:tcPr>
            <w:tcW w:w="1502" w:type="dxa"/>
          </w:tcPr>
          <w:p w14:paraId="74CB389E" w14:textId="53E1AFE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Car Club</w:t>
            </w:r>
          </w:p>
        </w:tc>
        <w:tc>
          <w:tcPr>
            <w:tcW w:w="1704" w:type="dxa"/>
          </w:tcPr>
          <w:p w14:paraId="3347F08C" w14:textId="3218F9D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Alternatives to private vehicle use</w:t>
            </w:r>
          </w:p>
        </w:tc>
        <w:tc>
          <w:tcPr>
            <w:tcW w:w="1704" w:type="dxa"/>
          </w:tcPr>
          <w:p w14:paraId="69E3FB1B" w14:textId="33F78C9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Car Clubs</w:t>
            </w:r>
          </w:p>
        </w:tc>
        <w:tc>
          <w:tcPr>
            <w:tcW w:w="1068" w:type="dxa"/>
          </w:tcPr>
          <w:p w14:paraId="6A252940" w14:textId="3AD90B8B"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2025</w:t>
            </w:r>
          </w:p>
        </w:tc>
        <w:tc>
          <w:tcPr>
            <w:tcW w:w="1126" w:type="dxa"/>
          </w:tcPr>
          <w:p w14:paraId="2EAC726A" w14:textId="463BCE41"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28AE1125" w14:textId="674FBE22"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Enterprise</w:t>
            </w:r>
          </w:p>
        </w:tc>
        <w:tc>
          <w:tcPr>
            <w:tcW w:w="924" w:type="dxa"/>
          </w:tcPr>
          <w:p w14:paraId="38D47A9B" w14:textId="5D7212EA"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w:t>
            </w:r>
          </w:p>
        </w:tc>
        <w:tc>
          <w:tcPr>
            <w:tcW w:w="1089" w:type="dxa"/>
          </w:tcPr>
          <w:p w14:paraId="4A704EB2" w14:textId="1E02E54C"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w:t>
            </w:r>
          </w:p>
        </w:tc>
        <w:tc>
          <w:tcPr>
            <w:tcW w:w="1377" w:type="dxa"/>
          </w:tcPr>
          <w:p w14:paraId="5187D9F4" w14:textId="16B92CD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Partially Funded</w:t>
            </w:r>
          </w:p>
        </w:tc>
        <w:tc>
          <w:tcPr>
            <w:tcW w:w="1021" w:type="dxa"/>
          </w:tcPr>
          <w:p w14:paraId="63C156EE" w14:textId="0292BAB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£50k - £100k</w:t>
            </w:r>
          </w:p>
        </w:tc>
        <w:tc>
          <w:tcPr>
            <w:tcW w:w="1484" w:type="dxa"/>
          </w:tcPr>
          <w:p w14:paraId="0B30DAE1" w14:textId="7F34A7D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In progress</w:t>
            </w:r>
          </w:p>
        </w:tc>
        <w:tc>
          <w:tcPr>
            <w:tcW w:w="1560" w:type="dxa"/>
          </w:tcPr>
          <w:p w14:paraId="6C49AB39" w14:textId="611490B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Reduction of up to 72.8% in annual NO</w:t>
            </w:r>
            <w:r w:rsidRPr="00DF643F">
              <w:rPr>
                <w:rFonts w:cs="Arial"/>
                <w:sz w:val="18"/>
                <w:szCs w:val="18"/>
                <w:vertAlign w:val="subscript"/>
              </w:rPr>
              <w:t>x</w:t>
            </w:r>
            <w:r w:rsidRPr="00DF643F">
              <w:rPr>
                <w:rFonts w:cs="Arial"/>
                <w:sz w:val="18"/>
                <w:szCs w:val="18"/>
              </w:rPr>
              <w:t xml:space="preserve"> emissions</w:t>
            </w:r>
          </w:p>
        </w:tc>
        <w:tc>
          <w:tcPr>
            <w:tcW w:w="1252" w:type="dxa"/>
          </w:tcPr>
          <w:p w14:paraId="613AA077" w14:textId="3DA14E93"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Number of car club bays</w:t>
            </w:r>
          </w:p>
        </w:tc>
        <w:tc>
          <w:tcPr>
            <w:tcW w:w="1317" w:type="dxa"/>
          </w:tcPr>
          <w:p w14:paraId="212AF1B0" w14:textId="4F83E148"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30 car club bays across the city; 1 electric</w:t>
            </w:r>
          </w:p>
        </w:tc>
        <w:tc>
          <w:tcPr>
            <w:tcW w:w="1849" w:type="dxa"/>
          </w:tcPr>
          <w:p w14:paraId="0786BB77" w14:textId="21C04FFF"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is identifying funding sources to install EV charging points in bays.</w:t>
            </w:r>
          </w:p>
        </w:tc>
      </w:tr>
      <w:tr w:rsidR="00900435" w:rsidRPr="00A760BD" w14:paraId="3FDD3A8D" w14:textId="77777777" w:rsidTr="00DF643F">
        <w:trPr>
          <w:trHeight w:val="1539"/>
        </w:trPr>
        <w:tc>
          <w:tcPr>
            <w:cnfStyle w:val="001000000000" w:firstRow="0" w:lastRow="0" w:firstColumn="1" w:lastColumn="0" w:oddVBand="0" w:evenVBand="0" w:oddHBand="0" w:evenHBand="0" w:firstRowFirstColumn="0" w:firstRowLastColumn="0" w:lastRowFirstColumn="0" w:lastRowLastColumn="0"/>
            <w:tcW w:w="877" w:type="dxa"/>
          </w:tcPr>
          <w:p w14:paraId="655814A1" w14:textId="77777777" w:rsidR="00900435" w:rsidRPr="00A760BD" w:rsidRDefault="00900435" w:rsidP="00900435">
            <w:pPr>
              <w:suppressAutoHyphens/>
              <w:rPr>
                <w:rFonts w:cs="Arial"/>
                <w:sz w:val="18"/>
                <w:szCs w:val="18"/>
              </w:rPr>
            </w:pPr>
            <w:r>
              <w:rPr>
                <w:rFonts w:cs="Arial"/>
                <w:sz w:val="18"/>
                <w:szCs w:val="18"/>
              </w:rPr>
              <w:t>10</w:t>
            </w:r>
          </w:p>
        </w:tc>
        <w:tc>
          <w:tcPr>
            <w:tcW w:w="1502" w:type="dxa"/>
          </w:tcPr>
          <w:p w14:paraId="7F1C46DE" w14:textId="7B2C3EB3"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Electric charging infrastructure</w:t>
            </w:r>
          </w:p>
        </w:tc>
        <w:tc>
          <w:tcPr>
            <w:tcW w:w="1704" w:type="dxa"/>
          </w:tcPr>
          <w:p w14:paraId="7AD79F71" w14:textId="7FCA2790"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Promoting Low Emission Transport</w:t>
            </w:r>
          </w:p>
        </w:tc>
        <w:tc>
          <w:tcPr>
            <w:tcW w:w="1704" w:type="dxa"/>
          </w:tcPr>
          <w:p w14:paraId="3D0CA85D" w14:textId="43911AB4"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Procuring alternative Refuelling infrastructure to promote Low Emission Vehicles, EV recharging, Gas fuel recharging</w:t>
            </w:r>
          </w:p>
        </w:tc>
        <w:tc>
          <w:tcPr>
            <w:tcW w:w="1068" w:type="dxa"/>
          </w:tcPr>
          <w:p w14:paraId="29A3CA6F" w14:textId="468752DE"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2030</w:t>
            </w:r>
          </w:p>
        </w:tc>
        <w:tc>
          <w:tcPr>
            <w:tcW w:w="1126" w:type="dxa"/>
          </w:tcPr>
          <w:p w14:paraId="0B99C537" w14:textId="4BB365EC" w:rsidR="00900435" w:rsidRPr="00900435" w:rsidRDefault="000A4844"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39" w:type="dxa"/>
          </w:tcPr>
          <w:p w14:paraId="252F8DFF" w14:textId="5EA91B35" w:rsidR="00900435" w:rsidRPr="00900435" w:rsidRDefault="00900435" w:rsidP="0090043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NCC, NECA</w:t>
            </w:r>
          </w:p>
        </w:tc>
        <w:tc>
          <w:tcPr>
            <w:tcW w:w="924" w:type="dxa"/>
          </w:tcPr>
          <w:p w14:paraId="2C674043" w14:textId="6CD5B30A"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133517">
              <w:rPr>
                <w:rFonts w:cs="Arial"/>
                <w:sz w:val="18"/>
                <w:szCs w:val="18"/>
              </w:rPr>
              <w:t>TBC</w:t>
            </w:r>
          </w:p>
        </w:tc>
        <w:tc>
          <w:tcPr>
            <w:tcW w:w="1089" w:type="dxa"/>
          </w:tcPr>
          <w:p w14:paraId="10190EE7" w14:textId="7D178B79"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No</w:t>
            </w:r>
          </w:p>
        </w:tc>
        <w:tc>
          <w:tcPr>
            <w:tcW w:w="1377" w:type="dxa"/>
          </w:tcPr>
          <w:p w14:paraId="2C5D6F1D" w14:textId="6D2B4706"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Not funded</w:t>
            </w:r>
          </w:p>
        </w:tc>
        <w:tc>
          <w:tcPr>
            <w:tcW w:w="1021" w:type="dxa"/>
          </w:tcPr>
          <w:p w14:paraId="177C720C" w14:textId="23360867"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£500k - £1 million</w:t>
            </w:r>
          </w:p>
        </w:tc>
        <w:tc>
          <w:tcPr>
            <w:tcW w:w="1484" w:type="dxa"/>
          </w:tcPr>
          <w:p w14:paraId="1C2FE6EA" w14:textId="2D29B8D3" w:rsidR="00900435" w:rsidRPr="00900435" w:rsidRDefault="00E037AB"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In progress</w:t>
            </w:r>
          </w:p>
        </w:tc>
        <w:tc>
          <w:tcPr>
            <w:tcW w:w="1560" w:type="dxa"/>
          </w:tcPr>
          <w:p w14:paraId="74BA6D74" w14:textId="4B0690F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Reduction of up to 32.2 kg/yr of NO</w:t>
            </w:r>
            <w:r w:rsidRPr="00DF643F">
              <w:rPr>
                <w:rFonts w:cs="Arial"/>
                <w:sz w:val="18"/>
                <w:szCs w:val="18"/>
                <w:vertAlign w:val="subscript"/>
              </w:rPr>
              <w:t>x</w:t>
            </w:r>
            <w:r w:rsidRPr="00DF643F">
              <w:rPr>
                <w:rFonts w:cs="Arial"/>
                <w:sz w:val="18"/>
                <w:szCs w:val="18"/>
              </w:rPr>
              <w:t xml:space="preserve"> emissions</w:t>
            </w:r>
          </w:p>
        </w:tc>
        <w:tc>
          <w:tcPr>
            <w:tcW w:w="1252" w:type="dxa"/>
          </w:tcPr>
          <w:p w14:paraId="2F06022A" w14:textId="08252EB9"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Number of chargers installed</w:t>
            </w:r>
          </w:p>
        </w:tc>
        <w:tc>
          <w:tcPr>
            <w:tcW w:w="1317" w:type="dxa"/>
          </w:tcPr>
          <w:p w14:paraId="148DC506" w14:textId="157E1B45" w:rsidR="00900435" w:rsidRPr="00900435" w:rsidRDefault="00900435"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sidRPr="00DF643F">
              <w:rPr>
                <w:rFonts w:cs="Arial"/>
                <w:sz w:val="18"/>
                <w:szCs w:val="18"/>
              </w:rPr>
              <w:t>Range of rapid and standard chargers installed.</w:t>
            </w:r>
          </w:p>
        </w:tc>
        <w:tc>
          <w:tcPr>
            <w:tcW w:w="1849" w:type="dxa"/>
          </w:tcPr>
          <w:p w14:paraId="1DCC40C3" w14:textId="3F0FE08C" w:rsidR="00900435" w:rsidRPr="00900435" w:rsidRDefault="00CF154A" w:rsidP="00900435">
            <w:pPr>
              <w:suppressAutoHyphens/>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Residential e</w:t>
            </w:r>
            <w:r w:rsidR="00900435" w:rsidRPr="00DF643F">
              <w:rPr>
                <w:rFonts w:cs="Arial"/>
                <w:sz w:val="18"/>
                <w:szCs w:val="18"/>
              </w:rPr>
              <w:t xml:space="preserve">lectric vehicle charging infrastructure is expected to be funded by the Local Electric Vehicle </w:t>
            </w:r>
            <w:r w:rsidR="00F2221C">
              <w:rPr>
                <w:rFonts w:cs="Arial"/>
                <w:sz w:val="18"/>
                <w:szCs w:val="18"/>
              </w:rPr>
              <w:t xml:space="preserve">Infrastructure </w:t>
            </w:r>
            <w:r w:rsidR="00900435" w:rsidRPr="00DF643F">
              <w:rPr>
                <w:rFonts w:cs="Arial"/>
                <w:sz w:val="18"/>
                <w:szCs w:val="18"/>
              </w:rPr>
              <w:t>Fund (LEVI) which is managed by NECA.</w:t>
            </w:r>
            <w:r>
              <w:rPr>
                <w:rFonts w:cs="Arial"/>
                <w:sz w:val="18"/>
                <w:szCs w:val="18"/>
              </w:rPr>
              <w:t xml:space="preserve"> NECA also supports Newcastle City Council to deliver charging at destination locations using the Levelling Up Funding and City Region Sustainable Transport Settlement. These are typically rapid or fast chargers. </w:t>
            </w:r>
          </w:p>
        </w:tc>
      </w:tr>
    </w:tbl>
    <w:p w14:paraId="64244B2C" w14:textId="77777777" w:rsidR="00094CAA" w:rsidRDefault="00094CAA" w:rsidP="006B2AF4">
      <w:pPr>
        <w:sectPr w:rsidR="00094CAA" w:rsidSect="005D760F">
          <w:footerReference w:type="default" r:id="rId41"/>
          <w:pgSz w:w="23811" w:h="16838" w:orient="landscape" w:code="8"/>
          <w:pgMar w:top="1418" w:right="1474" w:bottom="1418" w:left="1134" w:header="964" w:footer="454" w:gutter="0"/>
          <w:cols w:space="708"/>
          <w:docGrid w:linePitch="360"/>
        </w:sectPr>
      </w:pPr>
    </w:p>
    <w:p w14:paraId="1F1BECFE" w14:textId="7FA6C3A1" w:rsidR="006B2AF4" w:rsidRDefault="00094CAA" w:rsidP="00E351DA">
      <w:pPr>
        <w:pStyle w:val="Heading2"/>
        <w:numPr>
          <w:ilvl w:val="1"/>
          <w:numId w:val="11"/>
        </w:numPr>
      </w:pPr>
      <w:bookmarkStart w:id="120" w:name="_Toc222131878"/>
      <w:r>
        <w:lastRenderedPageBreak/>
        <w:t>Timescales of the AQAP Measures</w:t>
      </w:r>
      <w:bookmarkEnd w:id="120"/>
    </w:p>
    <w:p w14:paraId="2714193D" w14:textId="541E09E3" w:rsidR="00094CAA" w:rsidRDefault="0049050B" w:rsidP="002D2F62">
      <w:r w:rsidRPr="00DF643F">
        <w:t xml:space="preserve">Many of the measures set out </w:t>
      </w:r>
      <w:r w:rsidRPr="00DF643F">
        <w:fldChar w:fldCharType="begin"/>
      </w:r>
      <w:r w:rsidRPr="00DF643F">
        <w:instrText xml:space="preserve"> REF _Ref444770859 \h </w:instrText>
      </w:r>
      <w:r w:rsidRPr="00DF643F">
        <w:fldChar w:fldCharType="separate"/>
      </w:r>
      <w:r w:rsidRPr="0049050B">
        <w:t xml:space="preserve">Table </w:t>
      </w:r>
      <w:r w:rsidRPr="0049050B">
        <w:rPr>
          <w:noProof/>
        </w:rPr>
        <w:t>5</w:t>
      </w:r>
      <w:r w:rsidRPr="0049050B">
        <w:t>.</w:t>
      </w:r>
      <w:r w:rsidRPr="0049050B">
        <w:rPr>
          <w:noProof/>
        </w:rPr>
        <w:t>1</w:t>
      </w:r>
      <w:r w:rsidRPr="00DF643F">
        <w:fldChar w:fldCharType="end"/>
      </w:r>
      <w:r w:rsidRPr="00DF643F">
        <w:t xml:space="preserve"> are</w:t>
      </w:r>
      <w:r w:rsidR="008F2E66">
        <w:t xml:space="preserve"> already in progress with a few in the planning phase</w:t>
      </w:r>
      <w:r w:rsidRPr="00DF643F">
        <w:t xml:space="preserve">. Timescales are provided in </w:t>
      </w:r>
      <w:r w:rsidRPr="00DF643F">
        <w:fldChar w:fldCharType="begin"/>
      </w:r>
      <w:r w:rsidRPr="00DF643F">
        <w:instrText xml:space="preserve"> REF _Ref444770859 \h </w:instrText>
      </w:r>
      <w:r w:rsidRPr="00DF643F">
        <w:fldChar w:fldCharType="separate"/>
      </w:r>
      <w:r w:rsidRPr="0049050B">
        <w:t xml:space="preserve">Table </w:t>
      </w:r>
      <w:r w:rsidRPr="0049050B">
        <w:rPr>
          <w:noProof/>
        </w:rPr>
        <w:t>5</w:t>
      </w:r>
      <w:r w:rsidRPr="0049050B">
        <w:t>.</w:t>
      </w:r>
      <w:r w:rsidRPr="0049050B">
        <w:rPr>
          <w:noProof/>
        </w:rPr>
        <w:t>1</w:t>
      </w:r>
      <w:r w:rsidRPr="00DF643F">
        <w:fldChar w:fldCharType="end"/>
      </w:r>
      <w:r w:rsidRPr="00DF643F">
        <w:t xml:space="preserve">. Further timescale information for the top three actions is provided here. </w:t>
      </w:r>
    </w:p>
    <w:p w14:paraId="1770DE16" w14:textId="37E69F39" w:rsidR="0049050B" w:rsidRDefault="0049050B" w:rsidP="002D2F62">
      <w:r>
        <w:t>For measure 1 –</w:t>
      </w:r>
      <w:r w:rsidR="004C08B8">
        <w:t xml:space="preserve"> Clean Air </w:t>
      </w:r>
      <w:r w:rsidR="00FB3746">
        <w:t>Zone, a</w:t>
      </w:r>
      <w:r>
        <w:t xml:space="preserve"> Government mandated Clean Air Zone (CAZ) was implemented in part of Newcastle and Gateshead in January 2023</w:t>
      </w:r>
      <w:r w:rsidR="008F2E66">
        <w:t xml:space="preserve"> and fully operational in July 2023</w:t>
      </w:r>
      <w:r>
        <w:t>. The CAZ will remain in place until compliance with the NO</w:t>
      </w:r>
      <w:r w:rsidRPr="00DF643F">
        <w:rPr>
          <w:vertAlign w:val="subscript"/>
        </w:rPr>
        <w:t>2</w:t>
      </w:r>
      <w:r>
        <w:t xml:space="preserve"> annual mean Limit Value is achieved.</w:t>
      </w:r>
    </w:p>
    <w:p w14:paraId="2A8AB7DE" w14:textId="33FB0E87" w:rsidR="004C08B8" w:rsidRDefault="004C08B8" w:rsidP="002D2F62">
      <w:r>
        <w:t xml:space="preserve">For measure 2 – Bus Electrification, </w:t>
      </w:r>
      <w:r w:rsidR="00CF6FE3">
        <w:t xml:space="preserve">10 </w:t>
      </w:r>
      <w:r>
        <w:t xml:space="preserve">bus services </w:t>
      </w:r>
      <w:r w:rsidR="00CF6FE3">
        <w:t xml:space="preserve">operated by three bus operators (the 21, X66, and 58 of Go North East, the 43, 44/45, 48, 64, and X46 of Arriva, and the 30/31 and 36 of Stagecoach) </w:t>
      </w:r>
      <w:r>
        <w:t xml:space="preserve">are expected to be electrified </w:t>
      </w:r>
      <w:r w:rsidR="00CF6FE3">
        <w:t xml:space="preserve">by March </w:t>
      </w:r>
      <w:r>
        <w:t>2026</w:t>
      </w:r>
      <w:r w:rsidR="00CF6FE3">
        <w:t>.</w:t>
      </w:r>
    </w:p>
    <w:p w14:paraId="0C6299D5" w14:textId="0E890E56" w:rsidR="00E037AB" w:rsidRDefault="00E037AB" w:rsidP="00FB3746">
      <w:r>
        <w:t xml:space="preserve">NCC will collaborate with its identified Air Quality Partner, NECA, </w:t>
      </w:r>
      <w:r w:rsidR="00CF6FE3">
        <w:t>in the medium to longer term as further funding opportunities become available, to continue to push for increased electrification of buses in Newcastle.</w:t>
      </w:r>
    </w:p>
    <w:p w14:paraId="26D021B1" w14:textId="0A78BF65" w:rsidR="00FB3746" w:rsidRDefault="00FB3746" w:rsidP="00FB3746">
      <w:r>
        <w:t xml:space="preserve">Finally, for measure 3 - </w:t>
      </w:r>
      <w:r w:rsidRPr="00FB3746">
        <w:t xml:space="preserve">Exposure Limitation at Stephenson </w:t>
      </w:r>
      <w:r w:rsidR="007F2DF4">
        <w:t>Road</w:t>
      </w:r>
      <w:r>
        <w:t>,</w:t>
      </w:r>
      <w:r w:rsidR="008F2E66">
        <w:t xml:space="preserve"> work to identify whether pavement diversion or barriers would be successful in reducing short-term exposure on Stephenson Road is currently commissioned and will be completed in 2026</w:t>
      </w:r>
      <w:r w:rsidR="00CF6FE3">
        <w:t>, and the results of the study will inform subsequent work timelines.</w:t>
      </w:r>
    </w:p>
    <w:p w14:paraId="39753B57" w14:textId="4DFD5B7B" w:rsidR="00094CAA" w:rsidRDefault="00DB61C1" w:rsidP="00E351DA">
      <w:pPr>
        <w:pStyle w:val="Heading2"/>
        <w:numPr>
          <w:ilvl w:val="1"/>
          <w:numId w:val="11"/>
        </w:numPr>
      </w:pPr>
      <w:bookmarkStart w:id="121" w:name="_Toc211003590"/>
      <w:bookmarkStart w:id="122" w:name="_Ref210915642"/>
      <w:bookmarkStart w:id="123" w:name="_Toc222131879"/>
      <w:bookmarkEnd w:id="121"/>
      <w:r>
        <w:t>Air Quality Partners</w:t>
      </w:r>
      <w:bookmarkEnd w:id="122"/>
      <w:bookmarkEnd w:id="123"/>
    </w:p>
    <w:p w14:paraId="3686E2D8" w14:textId="64FA7807" w:rsidR="00652403" w:rsidRDefault="00CF6FE3" w:rsidP="00094CAA">
      <w:r>
        <w:t xml:space="preserve">NECA has been identified as an Air Quality Partner in the delivery of this AQAP, due to its responsibilities with respect to buses in </w:t>
      </w:r>
      <w:r w:rsidR="00FB3746" w:rsidRPr="00DF643F">
        <w:t>Newcastle</w:t>
      </w:r>
      <w:r>
        <w:t>. Buses have been identified as the primary contributor to the remaining exceedances of the annual mean NO</w:t>
      </w:r>
      <w:r w:rsidRPr="00DF643F">
        <w:rPr>
          <w:vertAlign w:val="subscript"/>
        </w:rPr>
        <w:t>2</w:t>
      </w:r>
      <w:r>
        <w:t xml:space="preserve"> objective in the city centre.</w:t>
      </w:r>
      <w:r w:rsidR="00FB3746" w:rsidRPr="00DF643F">
        <w:t xml:space="preserve"> </w:t>
      </w:r>
      <w:r>
        <w:t>Therefore</w:t>
      </w:r>
      <w:r w:rsidR="00184C77">
        <w:t>,</w:t>
      </w:r>
      <w:r>
        <w:t xml:space="preserve"> </w:t>
      </w:r>
      <w:r w:rsidR="00FB3746" w:rsidRPr="00DF643F">
        <w:t>electrifying the bus fleet</w:t>
      </w:r>
      <w:r>
        <w:t xml:space="preserve"> is a key priority action for which we have identified that NECA are the responsible party.</w:t>
      </w:r>
      <w:r w:rsidR="00FB3746" w:rsidRPr="00DF643F">
        <w:t xml:space="preserve"> </w:t>
      </w:r>
    </w:p>
    <w:p w14:paraId="75E21679" w14:textId="6A34D9CD" w:rsidR="00094CAA" w:rsidRDefault="262EF751" w:rsidP="5C9EF8EF">
      <w:pPr>
        <w:pStyle w:val="Heading2"/>
      </w:pPr>
      <w:bookmarkStart w:id="124" w:name="_Toc211003592"/>
      <w:bookmarkStart w:id="125" w:name="_Toc222131880"/>
      <w:bookmarkEnd w:id="124"/>
      <w:r>
        <w:t>Maintain</w:t>
      </w:r>
      <w:r w:rsidR="62C53915">
        <w:t>ing</w:t>
      </w:r>
      <w:r>
        <w:t xml:space="preserve"> </w:t>
      </w:r>
      <w:r w:rsidR="29E784A1">
        <w:t>Safe Air Quality</w:t>
      </w:r>
      <w:bookmarkEnd w:id="125"/>
      <w:r>
        <w:t xml:space="preserve"> </w:t>
      </w:r>
    </w:p>
    <w:p w14:paraId="6F350C3D" w14:textId="706964CC" w:rsidR="00246718" w:rsidRPr="00246718" w:rsidRDefault="00246718" w:rsidP="00246718">
      <w:r>
        <w:t xml:space="preserve">Newcastle City Council </w:t>
      </w:r>
      <w:r w:rsidRPr="00246718">
        <w:t>will continue to monitor local air quality throughout the</w:t>
      </w:r>
      <w:r>
        <w:t xml:space="preserve">ir jurisdiction </w:t>
      </w:r>
      <w:r w:rsidRPr="00246718">
        <w:t xml:space="preserve">and review and report annually within the ASRs as required by LAQM regulations to ensure the objectives are </w:t>
      </w:r>
      <w:r w:rsidR="000E0C77">
        <w:t xml:space="preserve">achieved and </w:t>
      </w:r>
      <w:r w:rsidRPr="00246718">
        <w:t xml:space="preserve">maintained in the future. If new </w:t>
      </w:r>
      <w:r w:rsidRPr="00246718">
        <w:lastRenderedPageBreak/>
        <w:t>areas of concern arise, for example due to new development, or worsening congestion, additional monitoring will be installed to monitor these changes.</w:t>
      </w:r>
    </w:p>
    <w:p w14:paraId="61236516" w14:textId="61A70784" w:rsidR="00246718" w:rsidRPr="00246718" w:rsidRDefault="00246718" w:rsidP="00246718">
      <w:r w:rsidRPr="00246718">
        <w:t>All new developments which have the potential to result in significant air quality impacts on or off-site will require an air quality assessment in line with the local plan. Additionally, industrial developments which result in emissions to air will be subject to the Permitting Regulations. Together, the planning and permitting regimes will ensure that new developments are consistent with the maintenance of air quality standards.</w:t>
      </w:r>
    </w:p>
    <w:p w14:paraId="1E9FC857" w14:textId="5D2969DD" w:rsidR="00920598" w:rsidRDefault="00246718" w:rsidP="00920598">
      <w:r w:rsidRPr="00246718">
        <w:t xml:space="preserve">Following </w:t>
      </w:r>
      <w:r w:rsidR="00CF6FE3">
        <w:t>three</w:t>
      </w:r>
      <w:r w:rsidR="00CF6FE3" w:rsidRPr="00246718">
        <w:t xml:space="preserve"> </w:t>
      </w:r>
      <w:r w:rsidRPr="00246718">
        <w:t>years of compliance with the AQO and the revocation of the AQMA, an Air Quality Strategy (AQS) will be produced and implemented to continue improving air quality and public health after the objectives have been achieved.</w:t>
      </w:r>
    </w:p>
    <w:p w14:paraId="4579536E" w14:textId="516AD202" w:rsidR="007A3C20" w:rsidRDefault="00571A82" w:rsidP="000E0C77">
      <w:pPr>
        <w:pStyle w:val="Heading1"/>
      </w:pPr>
      <w:bookmarkStart w:id="126" w:name="_Toc141346899"/>
      <w:bookmarkStart w:id="127" w:name="_Ref210915649"/>
      <w:bookmarkStart w:id="128" w:name="_Toc222131881"/>
      <w:bookmarkEnd w:id="118"/>
      <w:bookmarkEnd w:id="119"/>
      <w:r w:rsidRPr="00571A82">
        <w:t>Quantification of Measures</w:t>
      </w:r>
      <w:bookmarkEnd w:id="126"/>
      <w:bookmarkEnd w:id="127"/>
      <w:bookmarkEnd w:id="128"/>
    </w:p>
    <w:p w14:paraId="2901A115" w14:textId="6DA83F11" w:rsidR="002C217B" w:rsidRDefault="00627A74" w:rsidP="00F630B6">
      <w:pPr>
        <w:pStyle w:val="Heading2"/>
      </w:pPr>
      <w:bookmarkStart w:id="129" w:name="_Toc222131882"/>
      <w:r>
        <w:t>Measure 1 – Clean Air Zone</w:t>
      </w:r>
      <w:bookmarkEnd w:id="129"/>
    </w:p>
    <w:p w14:paraId="7A7F38AB" w14:textId="77777777" w:rsidR="00EA5298" w:rsidRDefault="00CD5AC2" w:rsidP="00840A16">
      <w:r>
        <w:t>For the full business case for the</w:t>
      </w:r>
      <w:r w:rsidR="00EA5298">
        <w:t xml:space="preserve"> Clean Air Zone</w:t>
      </w:r>
      <w:r>
        <w:t xml:space="preserve"> </w:t>
      </w:r>
      <w:r w:rsidR="00EA5298">
        <w:t>(</w:t>
      </w:r>
      <w:r>
        <w:t>CAZ</w:t>
      </w:r>
      <w:r w:rsidR="00EA5298">
        <w:t>)</w:t>
      </w:r>
      <w:r w:rsidR="001E271B">
        <w:t>,</w:t>
      </w:r>
      <w:r>
        <w:t xml:space="preserve"> </w:t>
      </w:r>
      <w:r w:rsidR="001E271B">
        <w:t>modelling was undertaken to predict the reduction in annual mean NO</w:t>
      </w:r>
      <w:r w:rsidR="001E271B" w:rsidRPr="00D04771">
        <w:rPr>
          <w:vertAlign w:val="subscript"/>
        </w:rPr>
        <w:t>2</w:t>
      </w:r>
      <w:r w:rsidR="001E271B">
        <w:t xml:space="preserve"> concentrations</w:t>
      </w:r>
      <w:r w:rsidR="001E271B">
        <w:rPr>
          <w:rStyle w:val="FootnoteReference"/>
        </w:rPr>
        <w:footnoteReference w:id="13"/>
      </w:r>
      <w:r w:rsidR="001E271B">
        <w:t xml:space="preserve">. It should be noted that only Pollution Climate Mapping (PCM) road links were modelled, therefore, the city centre of Newcastle was not modelled. The only modelled PCM link of relevance is PCM link 47526 which is located on Stephenson Road and is adjacent to the diffusion tube monitoring location DT81. </w:t>
      </w:r>
    </w:p>
    <w:p w14:paraId="0AB3B29B" w14:textId="34B501FF" w:rsidR="00CD5AC2" w:rsidRDefault="00EA5298" w:rsidP="00840A16">
      <w:pPr>
        <w:rPr>
          <w:lang w:val="en-IE"/>
        </w:rPr>
      </w:pPr>
      <w:r>
        <w:fldChar w:fldCharType="begin"/>
      </w:r>
      <w:r>
        <w:instrText xml:space="preserve"> REF _Ref209686090 \h </w:instrText>
      </w:r>
      <w:r>
        <w:fldChar w:fldCharType="separate"/>
      </w:r>
      <w:r w:rsidRPr="00E3664B">
        <w:t xml:space="preserve">Table </w:t>
      </w:r>
      <w:r>
        <w:rPr>
          <w:noProof/>
        </w:rPr>
        <w:t>6</w:t>
      </w:r>
      <w:r>
        <w:t>.</w:t>
      </w:r>
      <w:r>
        <w:rPr>
          <w:noProof/>
        </w:rPr>
        <w:t>1</w:t>
      </w:r>
      <w:r>
        <w:fldChar w:fldCharType="end"/>
      </w:r>
      <w:r>
        <w:t xml:space="preserve"> shows the modelled annual mean NO</w:t>
      </w:r>
      <w:r w:rsidRPr="00D04771">
        <w:rPr>
          <w:vertAlign w:val="subscript"/>
        </w:rPr>
        <w:t>2</w:t>
      </w:r>
      <w:r>
        <w:t xml:space="preserve"> concentrations in 2023 with and without the CAZ in place with an indicative value of 90% compliance across multiple scenarios and sensitivity tests. </w:t>
      </w:r>
      <w:r w:rsidR="004A154B">
        <w:t>The actual measured annual mean NO</w:t>
      </w:r>
      <w:r w:rsidR="004A154B" w:rsidRPr="00D04771">
        <w:rPr>
          <w:vertAlign w:val="subscript"/>
        </w:rPr>
        <w:t>2</w:t>
      </w:r>
      <w:r w:rsidR="004A154B">
        <w:t xml:space="preserve"> concentration at DT81 was considerably higher in 2023 </w:t>
      </w:r>
      <w:r w:rsidR="004A154B" w:rsidRPr="004A154B">
        <w:t xml:space="preserve">with </w:t>
      </w:r>
      <w:r w:rsidR="004A154B" w:rsidRPr="00D04771">
        <w:t xml:space="preserve">67.1 </w:t>
      </w:r>
      <w:r w:rsidR="004A154B" w:rsidRPr="004A154B">
        <w:rPr>
          <w:lang w:val="en-IE"/>
        </w:rPr>
        <w:t>µg</w:t>
      </w:r>
      <w:r w:rsidR="004A154B" w:rsidRPr="008F5866">
        <w:rPr>
          <w:lang w:val="en-IE"/>
        </w:rPr>
        <w:t>/m</w:t>
      </w:r>
      <w:r w:rsidR="004A154B" w:rsidRPr="008F5866">
        <w:rPr>
          <w:vertAlign w:val="superscript"/>
          <w:lang w:val="en-IE"/>
        </w:rPr>
        <w:t>3</w:t>
      </w:r>
      <w:r w:rsidR="004A154B">
        <w:rPr>
          <w:lang w:val="en-IE"/>
        </w:rPr>
        <w:t>. This is due to multiple reasons:</w:t>
      </w:r>
    </w:p>
    <w:p w14:paraId="09826D6C" w14:textId="21BFD352" w:rsidR="004A154B" w:rsidRDefault="004A154B" w:rsidP="004A154B">
      <w:pPr>
        <w:pStyle w:val="ListParagraph"/>
        <w:numPr>
          <w:ilvl w:val="0"/>
          <w:numId w:val="42"/>
        </w:numPr>
      </w:pPr>
      <w:r>
        <w:t xml:space="preserve">In the full business case the compliance with the CAZ was modelled with approximately 90% in 2023, however, the actual compliance was lower </w:t>
      </w:r>
      <w:r w:rsidR="002E1767">
        <w:t xml:space="preserve">with </w:t>
      </w:r>
      <w:r w:rsidR="002E1767">
        <w:lastRenderedPageBreak/>
        <w:t>approximately 80% in 2024</w:t>
      </w:r>
      <w:r w:rsidR="00096027">
        <w:t>. A more detailed breakdown of the actual compliance can be found below</w:t>
      </w:r>
      <w:r w:rsidR="002E1767">
        <w:t>;</w:t>
      </w:r>
    </w:p>
    <w:p w14:paraId="5FFF2CCF" w14:textId="252A2109" w:rsidR="002E1767" w:rsidRDefault="002E1767" w:rsidP="004A154B">
      <w:pPr>
        <w:pStyle w:val="ListParagraph"/>
        <w:numPr>
          <w:ilvl w:val="0"/>
          <w:numId w:val="42"/>
        </w:numPr>
      </w:pPr>
      <w:r>
        <w:t>The receptor for PCM link 47526 was modelled 4m from the kerb, however, DT81 is located 1m from the kerb; and</w:t>
      </w:r>
    </w:p>
    <w:p w14:paraId="6AF1FED3" w14:textId="0B8175B8" w:rsidR="002E1767" w:rsidRPr="004A154B" w:rsidRDefault="002E1767" w:rsidP="00D04771">
      <w:pPr>
        <w:pStyle w:val="ListParagraph"/>
        <w:numPr>
          <w:ilvl w:val="0"/>
          <w:numId w:val="42"/>
        </w:numPr>
      </w:pPr>
      <w:r>
        <w:t>L</w:t>
      </w:r>
      <w:r w:rsidRPr="002E1767">
        <w:t>ocal conditions were not recognised in the</w:t>
      </w:r>
      <w:r>
        <w:t xml:space="preserve"> full business case</w:t>
      </w:r>
      <w:r w:rsidRPr="002E1767">
        <w:t xml:space="preserve"> model</w:t>
      </w:r>
      <w:r>
        <w:t>, such as queuing and canyoning, which</w:t>
      </w:r>
      <w:r w:rsidRPr="002E1767">
        <w:t xml:space="preserve"> may have contributed to the ongoing high concentrations</w:t>
      </w:r>
      <w:r>
        <w:t>.</w:t>
      </w:r>
    </w:p>
    <w:p w14:paraId="472F8474" w14:textId="18207160" w:rsidR="001E271B" w:rsidRDefault="001E271B" w:rsidP="001E271B">
      <w:pPr>
        <w:pStyle w:val="Caption"/>
      </w:pPr>
      <w:bookmarkStart w:id="130" w:name="_Ref209686090"/>
      <w:bookmarkStart w:id="131" w:name="_Toc222131906"/>
      <w:r w:rsidRPr="00E3664B">
        <w:t xml:space="preserve">Table </w:t>
      </w:r>
      <w:r>
        <w:fldChar w:fldCharType="begin"/>
      </w:r>
      <w:r>
        <w:instrText>STYLEREF 1 \s</w:instrText>
      </w:r>
      <w:r>
        <w:fldChar w:fldCharType="separate"/>
      </w:r>
      <w:r>
        <w:rPr>
          <w:noProof/>
        </w:rPr>
        <w:t>6</w:t>
      </w:r>
      <w:r>
        <w:fldChar w:fldCharType="end"/>
      </w:r>
      <w:r>
        <w:t>.</w:t>
      </w:r>
      <w:r>
        <w:fldChar w:fldCharType="begin"/>
      </w:r>
      <w:r>
        <w:instrText>SEQ Table \* ARABIC \s 1</w:instrText>
      </w:r>
      <w:r>
        <w:fldChar w:fldCharType="separate"/>
      </w:r>
      <w:r>
        <w:rPr>
          <w:noProof/>
        </w:rPr>
        <w:t>1</w:t>
      </w:r>
      <w:r>
        <w:fldChar w:fldCharType="end"/>
      </w:r>
      <w:bookmarkEnd w:id="130"/>
      <w:r w:rsidRPr="00E3664B">
        <w:t xml:space="preserve"> </w:t>
      </w:r>
      <w:r w:rsidRPr="00BE428E">
        <w:t>‒</w:t>
      </w:r>
      <w:r w:rsidRPr="00E3664B">
        <w:t xml:space="preserve"> </w:t>
      </w:r>
      <w:r>
        <w:t>Modelled annual mean NO</w:t>
      </w:r>
      <w:r w:rsidRPr="00D04771">
        <w:rPr>
          <w:vertAlign w:val="subscript"/>
        </w:rPr>
        <w:t>2</w:t>
      </w:r>
      <w:r>
        <w:t xml:space="preserve"> concentrations for PCM link 47526 in 2023</w:t>
      </w:r>
      <w:bookmarkEnd w:id="131"/>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1968"/>
        <w:gridCol w:w="3546"/>
        <w:gridCol w:w="3546"/>
      </w:tblGrid>
      <w:tr w:rsidR="001E271B" w:rsidRPr="002A53BD" w14:paraId="1017A0A2" w14:textId="77777777" w:rsidTr="00D04771">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086" w:type="pct"/>
            <w:vMerge w:val="restart"/>
            <w:shd w:val="clear" w:color="auto" w:fill="006600"/>
          </w:tcPr>
          <w:p w14:paraId="4B7FF24F" w14:textId="604F4D51" w:rsidR="001E271B" w:rsidRPr="002A53BD" w:rsidRDefault="001E271B" w:rsidP="00D8513A">
            <w:pPr>
              <w:spacing w:before="0" w:after="0" w:line="240" w:lineRule="auto"/>
              <w:rPr>
                <w:b w:val="0"/>
                <w:color w:val="FFFFFF" w:themeColor="background1"/>
              </w:rPr>
            </w:pPr>
            <w:r>
              <w:rPr>
                <w:b w:val="0"/>
                <w:color w:val="FFFFFF" w:themeColor="background1"/>
              </w:rPr>
              <w:t>Modelled Link</w:t>
            </w:r>
          </w:p>
        </w:tc>
        <w:tc>
          <w:tcPr>
            <w:tcW w:w="1957" w:type="pct"/>
            <w:vMerge w:val="restart"/>
            <w:shd w:val="clear" w:color="auto" w:fill="006600"/>
          </w:tcPr>
          <w:p w14:paraId="067FAC60" w14:textId="6DAA0BD9" w:rsidR="001E271B" w:rsidRPr="002A53BD" w:rsidRDefault="001E271B"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Annual mean NO</w:t>
            </w:r>
            <w:r w:rsidRPr="00D04771">
              <w:rPr>
                <w:b w:val="0"/>
                <w:color w:val="FFFFFF" w:themeColor="background1"/>
                <w:vertAlign w:val="subscript"/>
              </w:rPr>
              <w:t>2</w:t>
            </w:r>
            <w:r>
              <w:rPr>
                <w:b w:val="0"/>
                <w:color w:val="FFFFFF" w:themeColor="background1"/>
              </w:rPr>
              <w:t xml:space="preserve"> concentration in 2023 without the CAZ</w:t>
            </w:r>
          </w:p>
        </w:tc>
        <w:tc>
          <w:tcPr>
            <w:tcW w:w="1957" w:type="pct"/>
            <w:vMerge w:val="restart"/>
            <w:shd w:val="clear" w:color="auto" w:fill="006600"/>
          </w:tcPr>
          <w:p w14:paraId="6B049306" w14:textId="185FAA2B" w:rsidR="001E271B" w:rsidRPr="002A53BD" w:rsidRDefault="001E271B" w:rsidP="00D8513A">
            <w:pPr>
              <w:spacing w:before="0" w:after="0" w:line="240" w:lineRule="auto"/>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b w:val="0"/>
                <w:color w:val="FFFFFF" w:themeColor="background1"/>
              </w:rPr>
              <w:t>Annual mean NO</w:t>
            </w:r>
            <w:r w:rsidRPr="00D04771">
              <w:rPr>
                <w:b w:val="0"/>
                <w:color w:val="FFFFFF" w:themeColor="background1"/>
                <w:vertAlign w:val="subscript"/>
              </w:rPr>
              <w:t>2</w:t>
            </w:r>
            <w:r>
              <w:rPr>
                <w:b w:val="0"/>
                <w:color w:val="FFFFFF" w:themeColor="background1"/>
              </w:rPr>
              <w:t xml:space="preserve"> concentration in 2023 with the CAZ</w:t>
            </w:r>
          </w:p>
        </w:tc>
      </w:tr>
      <w:tr w:rsidR="001E271B" w:rsidRPr="002A53BD" w14:paraId="7BB3B5E4" w14:textId="77777777" w:rsidTr="00D04771">
        <w:trPr>
          <w:trHeight w:val="315"/>
        </w:trPr>
        <w:tc>
          <w:tcPr>
            <w:cnfStyle w:val="001000000000" w:firstRow="0" w:lastRow="0" w:firstColumn="1" w:lastColumn="0" w:oddVBand="0" w:evenVBand="0" w:oddHBand="0" w:evenHBand="0" w:firstRowFirstColumn="0" w:firstRowLastColumn="0" w:lastRowFirstColumn="0" w:lastRowLastColumn="0"/>
            <w:tcW w:w="1086" w:type="pct"/>
            <w:vMerge/>
            <w:shd w:val="clear" w:color="auto" w:fill="006600"/>
          </w:tcPr>
          <w:p w14:paraId="757A190D" w14:textId="77777777" w:rsidR="001E271B" w:rsidRPr="002A53BD" w:rsidRDefault="001E271B" w:rsidP="00D8513A">
            <w:pPr>
              <w:spacing w:before="0" w:after="0" w:line="240" w:lineRule="auto"/>
              <w:rPr>
                <w:rFonts w:eastAsia="Times New Roman" w:cs="Arial"/>
                <w:bCs/>
                <w:color w:val="FFFFFF" w:themeColor="background1"/>
                <w:lang w:val="en-US" w:eastAsia="zh-CN"/>
              </w:rPr>
            </w:pPr>
          </w:p>
        </w:tc>
        <w:tc>
          <w:tcPr>
            <w:tcW w:w="1957" w:type="pct"/>
            <w:vMerge/>
            <w:shd w:val="clear" w:color="auto" w:fill="006600"/>
          </w:tcPr>
          <w:p w14:paraId="681FFC62" w14:textId="77777777" w:rsidR="001E271B" w:rsidRPr="002A53BD" w:rsidRDefault="001E271B"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c>
          <w:tcPr>
            <w:tcW w:w="1957" w:type="pct"/>
            <w:vMerge/>
            <w:shd w:val="clear" w:color="auto" w:fill="006600"/>
          </w:tcPr>
          <w:p w14:paraId="2E2234C3" w14:textId="77777777" w:rsidR="001E271B" w:rsidRPr="002A53BD" w:rsidRDefault="001E271B" w:rsidP="00D8513A">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r>
      <w:tr w:rsidR="001E271B" w:rsidRPr="002A53BD" w14:paraId="6D0C1AFA" w14:textId="77777777" w:rsidTr="00D04771">
        <w:trPr>
          <w:trHeight w:val="880"/>
        </w:trPr>
        <w:tc>
          <w:tcPr>
            <w:cnfStyle w:val="001000000000" w:firstRow="0" w:lastRow="0" w:firstColumn="1" w:lastColumn="0" w:oddVBand="0" w:evenVBand="0" w:oddHBand="0" w:evenHBand="0" w:firstRowFirstColumn="0" w:firstRowLastColumn="0" w:lastRowFirstColumn="0" w:lastRowLastColumn="0"/>
            <w:tcW w:w="1086" w:type="pct"/>
          </w:tcPr>
          <w:p w14:paraId="3855E3A4" w14:textId="166CDA80" w:rsidR="001E271B" w:rsidRPr="003264CE" w:rsidRDefault="001E271B" w:rsidP="00D04771">
            <w:pPr>
              <w:spacing w:before="0" w:after="0" w:line="240" w:lineRule="auto"/>
              <w:rPr>
                <w:rFonts w:eastAsia="Times New Roman" w:cs="Arial"/>
                <w:sz w:val="22"/>
                <w:szCs w:val="22"/>
                <w:lang w:val="en-US" w:eastAsia="zh-CN"/>
              </w:rPr>
            </w:pPr>
            <w:r>
              <w:rPr>
                <w:rFonts w:eastAsia="Times New Roman" w:cs="Arial"/>
                <w:sz w:val="22"/>
                <w:szCs w:val="22"/>
                <w:lang w:val="en-US" w:eastAsia="zh-CN"/>
              </w:rPr>
              <w:t>PCM link 47526</w:t>
            </w:r>
          </w:p>
        </w:tc>
        <w:tc>
          <w:tcPr>
            <w:tcW w:w="1957" w:type="pct"/>
          </w:tcPr>
          <w:p w14:paraId="03B95347" w14:textId="4F4B72DB" w:rsidR="001E271B" w:rsidRPr="003264CE" w:rsidRDefault="001E271B" w:rsidP="00D0477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Pr>
                <w:rFonts w:eastAsia="Times New Roman" w:cs="Arial"/>
                <w:sz w:val="22"/>
                <w:szCs w:val="22"/>
                <w:lang w:val="en-US" w:eastAsia="zh-CN"/>
              </w:rPr>
              <w:t xml:space="preserve">49.9 </w:t>
            </w:r>
            <w:r w:rsidRPr="001E271B">
              <w:rPr>
                <w:rFonts w:eastAsia="Times New Roman" w:cs="Arial"/>
                <w:sz w:val="22"/>
                <w:szCs w:val="22"/>
                <w:lang w:val="en-IE" w:eastAsia="zh-CN"/>
              </w:rPr>
              <w:t>µg/m</w:t>
            </w:r>
            <w:r w:rsidRPr="001E271B">
              <w:rPr>
                <w:rFonts w:eastAsia="Times New Roman" w:cs="Arial"/>
                <w:sz w:val="22"/>
                <w:szCs w:val="22"/>
                <w:vertAlign w:val="superscript"/>
                <w:lang w:val="en-IE" w:eastAsia="zh-CN"/>
              </w:rPr>
              <w:t>3</w:t>
            </w:r>
          </w:p>
        </w:tc>
        <w:tc>
          <w:tcPr>
            <w:tcW w:w="1957" w:type="pct"/>
          </w:tcPr>
          <w:p w14:paraId="77BC6AEF" w14:textId="2D2D17E9" w:rsidR="001E271B" w:rsidRPr="003264CE" w:rsidRDefault="001E271B" w:rsidP="00D0477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lang w:val="en-US" w:eastAsia="zh-CN"/>
              </w:rPr>
            </w:pPr>
            <w:r>
              <w:rPr>
                <w:rFonts w:eastAsia="Times New Roman" w:cs="Arial"/>
                <w:sz w:val="22"/>
                <w:szCs w:val="22"/>
                <w:lang w:val="en-US" w:eastAsia="zh-CN"/>
              </w:rPr>
              <w:t xml:space="preserve">34.4 </w:t>
            </w:r>
            <w:r w:rsidRPr="008F5866">
              <w:rPr>
                <w:lang w:val="en-IE"/>
              </w:rPr>
              <w:t>µg/m</w:t>
            </w:r>
            <w:r w:rsidRPr="008F5866">
              <w:rPr>
                <w:vertAlign w:val="superscript"/>
                <w:lang w:val="en-IE"/>
              </w:rPr>
              <w:t>3</w:t>
            </w:r>
          </w:p>
        </w:tc>
      </w:tr>
    </w:tbl>
    <w:p w14:paraId="617CF3E5" w14:textId="77777777" w:rsidR="001E271B" w:rsidRDefault="001E271B" w:rsidP="00840A16"/>
    <w:p w14:paraId="55FCB584" w14:textId="5C420B18" w:rsidR="00840A16" w:rsidRDefault="00840A16" w:rsidP="00840A16">
      <w:r>
        <w:t>A CAZ Triage Report was submitted to the Joint Air Quality Unit (JAQU) in summer 2025 after the outcome of the Stage 1 assessment</w:t>
      </w:r>
      <w:r>
        <w:rPr>
          <w:rStyle w:val="FootnoteReference"/>
        </w:rPr>
        <w:footnoteReference w:id="14"/>
      </w:r>
      <w:r>
        <w:t>. The report compared the CAZ model predictions for traffic and emissions in 2023 with the actual recorded traffic and calculated emissions in 2024. It was concluded tha</w:t>
      </w:r>
      <w:r w:rsidR="00EA1F4F">
        <w:t xml:space="preserve">t </w:t>
      </w:r>
      <w:r w:rsidR="00C42065">
        <w:t xml:space="preserve">there is a </w:t>
      </w:r>
      <w:r w:rsidR="00EA1F4F">
        <w:t>strong similarity in traffic breakdown and source apportionment, indicating that the model was effective in forecasting traffic and emissions. Therefore, effects of the CAZ</w:t>
      </w:r>
      <w:r w:rsidR="007770B9">
        <w:t xml:space="preserve"> were broadly</w:t>
      </w:r>
      <w:r w:rsidR="00EA1F4F">
        <w:t xml:space="preserve"> in line with the modelling. </w:t>
      </w:r>
    </w:p>
    <w:p w14:paraId="06E9CCDA" w14:textId="79F0BD45" w:rsidR="00F17C5A" w:rsidRDefault="00E63502" w:rsidP="00840A16">
      <w:r>
        <w:t xml:space="preserve">The Triage Report also determined the compliance </w:t>
      </w:r>
      <w:r w:rsidR="007770B9">
        <w:t xml:space="preserve">in terms of emissions classification (Euro class and fuel type) </w:t>
      </w:r>
      <w:r>
        <w:t xml:space="preserve">of vehicles entering the CAZ in 2024. </w:t>
      </w:r>
      <w:r w:rsidR="007770B9">
        <w:t>The CAZ implemented is a class C that charges all buses, coaches, taxis, private hire vehicles (PHVs), heavy good vehicles (HGVs), vans and minibuses that do not meet the Euro 6</w:t>
      </w:r>
      <w:r w:rsidR="00D31725">
        <w:t>/VI</w:t>
      </w:r>
      <w:r w:rsidR="007770B9">
        <w:t xml:space="preserve"> emission standards for diesel and Euro 4 for petrol</w:t>
      </w:r>
      <w:r w:rsidR="00D677CF">
        <w:t xml:space="preserve">. </w:t>
      </w:r>
      <w:r>
        <w:t xml:space="preserve">To determine the proportion of compliant and non-compliant vehicles the 2024 ANPR data was </w:t>
      </w:r>
      <w:r>
        <w:lastRenderedPageBreak/>
        <w:t xml:space="preserve">analysed. </w:t>
      </w:r>
      <w:r w:rsidRPr="00E63502">
        <w:fldChar w:fldCharType="begin"/>
      </w:r>
      <w:r w:rsidRPr="00E63502">
        <w:instrText xml:space="preserve"> REF _Ref204939991 \h  \* MERGEFORMAT </w:instrText>
      </w:r>
      <w:r w:rsidRPr="00E63502">
        <w:fldChar w:fldCharType="separate"/>
      </w:r>
      <w:r w:rsidRPr="00E63502">
        <w:t xml:space="preserve">Figure </w:t>
      </w:r>
      <w:r w:rsidRPr="00E63502">
        <w:rPr>
          <w:noProof/>
        </w:rPr>
        <w:t>6</w:t>
      </w:r>
      <w:r w:rsidRPr="00E63502">
        <w:t>.</w:t>
      </w:r>
      <w:r w:rsidRPr="00E63502">
        <w:rPr>
          <w:noProof/>
        </w:rPr>
        <w:t>1</w:t>
      </w:r>
      <w:r w:rsidRPr="00E63502">
        <w:fldChar w:fldCharType="end"/>
      </w:r>
      <w:r w:rsidRPr="00E63502">
        <w:t xml:space="preserve"> </w:t>
      </w:r>
      <w:r>
        <w:t>shows the proportion of compliant and non-compliant vehicles in 2024</w:t>
      </w:r>
      <w:r w:rsidR="00F17C5A">
        <w:t>, and the majority of vehicles are complian</w:t>
      </w:r>
      <w:r w:rsidR="00D677CF">
        <w:t xml:space="preserve">t. </w:t>
      </w:r>
      <w:r w:rsidR="00F17C5A">
        <w:t xml:space="preserve">Only the buses are </w:t>
      </w:r>
      <w:r w:rsidR="00B4470B">
        <w:t>lagging</w:t>
      </w:r>
      <w:r w:rsidR="00F17C5A">
        <w:t xml:space="preserve"> compliance with 49.9% of buses entering the CAZ being non-compliant. </w:t>
      </w:r>
      <w:r w:rsidR="00CD5AC2">
        <w:t>It is to be noted that this will impact annual mean NO</w:t>
      </w:r>
      <w:r w:rsidR="00CD5AC2" w:rsidRPr="00D04771">
        <w:rPr>
          <w:vertAlign w:val="subscript"/>
        </w:rPr>
        <w:t>2</w:t>
      </w:r>
      <w:r w:rsidR="00CD5AC2">
        <w:t xml:space="preserve"> concentrations within the city centre, especially at Market Street (DT8) which is currently not compliant. Therefore, the electrification of the bus fleet is the second priority measure. </w:t>
      </w:r>
    </w:p>
    <w:p w14:paraId="2D221334" w14:textId="6CB073BA" w:rsidR="00E63502" w:rsidRDefault="006A658E" w:rsidP="00840A16">
      <w:r>
        <w:rPr>
          <w:noProof/>
        </w:rPr>
        <w:drawing>
          <wp:inline distT="0" distB="0" distL="0" distR="0" wp14:anchorId="5D92C7AB" wp14:editId="6B86A59C">
            <wp:extent cx="5648325" cy="3048000"/>
            <wp:effectExtent l="0" t="0" r="9525" b="0"/>
            <wp:docPr id="1457670855" name="Chart 1">
              <a:extLst xmlns:a="http://schemas.openxmlformats.org/drawingml/2006/main">
                <a:ext uri="{FF2B5EF4-FFF2-40B4-BE49-F238E27FC236}">
                  <a16:creationId xmlns:a16="http://schemas.microsoft.com/office/drawing/2014/main" id="{4ECB9220-C706-AD5B-827F-134CE5FA2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6FD6072" w14:textId="65497A92" w:rsidR="00F66CC5" w:rsidRDefault="00F66CC5" w:rsidP="00F66CC5">
      <w:pPr>
        <w:pStyle w:val="Caption"/>
        <w:rPr>
          <w:b w:val="0"/>
          <w:bCs w:val="0"/>
        </w:rPr>
      </w:pPr>
      <w:bookmarkStart w:id="132" w:name="_Toc222131931"/>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1</w:t>
      </w:r>
      <w:r>
        <w:fldChar w:fldCharType="end"/>
      </w:r>
      <w:r>
        <w:t xml:space="preserve"> - Proportion of compliant and non-compliant vehicles entering the Clean Air Zone in 2024</w:t>
      </w:r>
      <w:bookmarkEnd w:id="132"/>
    </w:p>
    <w:p w14:paraId="5BD2190F" w14:textId="77777777" w:rsidR="00F66CC5" w:rsidRDefault="00F66CC5" w:rsidP="00840A16">
      <w:pPr>
        <w:rPr>
          <w:b/>
          <w:bCs/>
          <w:color w:val="006726"/>
        </w:rPr>
      </w:pPr>
    </w:p>
    <w:p w14:paraId="4D61793B" w14:textId="3243AA81" w:rsidR="00D677CF" w:rsidRDefault="00B4470B" w:rsidP="00B4470B">
      <w:r>
        <w:t xml:space="preserve">The Emissions Factor Toolkit v13.1 was used to project the euro class breakdown of the fleet based on the 2024 ANPR data into the future </w:t>
      </w:r>
      <w:r w:rsidR="00BE354E">
        <w:t xml:space="preserve">up to 2030. </w:t>
      </w:r>
      <w:r w:rsidR="0048456A" w:rsidRPr="0048456A">
        <w:fldChar w:fldCharType="begin"/>
      </w:r>
      <w:r w:rsidR="0048456A" w:rsidRPr="0048456A">
        <w:instrText xml:space="preserve"> REF _Ref204943671 \h  \* MERGEFORMAT </w:instrText>
      </w:r>
      <w:r w:rsidR="0048456A" w:rsidRPr="0048456A">
        <w:fldChar w:fldCharType="separate"/>
      </w:r>
      <w:r w:rsidR="0048456A" w:rsidRPr="0048456A">
        <w:t xml:space="preserve">Figure </w:t>
      </w:r>
      <w:r w:rsidR="0048456A" w:rsidRPr="0048456A">
        <w:rPr>
          <w:noProof/>
        </w:rPr>
        <w:t>6</w:t>
      </w:r>
      <w:r w:rsidR="0048456A" w:rsidRPr="0048456A">
        <w:t>.</w:t>
      </w:r>
      <w:r w:rsidR="0048456A" w:rsidRPr="0048456A">
        <w:rPr>
          <w:noProof/>
        </w:rPr>
        <w:t>2</w:t>
      </w:r>
      <w:r w:rsidR="0048456A" w:rsidRPr="0048456A">
        <w:fldChar w:fldCharType="end"/>
      </w:r>
      <w:r w:rsidR="0048456A">
        <w:t xml:space="preserve"> shows the projected proportion of compliant and non-compliant diesel cars, diesel LGVs and buses entering the CAZ from 2025 – 2030. By 2030</w:t>
      </w:r>
      <w:r w:rsidR="00D677CF">
        <w:t xml:space="preserve"> the compliance</w:t>
      </w:r>
      <w:r w:rsidR="003A6282">
        <w:t xml:space="preserve"> is predicted to further increase with the maximum of 27% increase of compliance for buses.</w:t>
      </w:r>
      <w:r w:rsidR="00D677CF">
        <w:t xml:space="preserve"> </w:t>
      </w:r>
    </w:p>
    <w:p w14:paraId="3EE21763" w14:textId="664A742C" w:rsidR="00BE354E" w:rsidRDefault="0048456A" w:rsidP="00B4470B">
      <w:pPr>
        <w:rPr>
          <w:noProof/>
        </w:rPr>
      </w:pPr>
      <w:r w:rsidRPr="0048456A">
        <w:rPr>
          <w:noProof/>
        </w:rPr>
        <w:lastRenderedPageBreak/>
        <w:t xml:space="preserve"> </w:t>
      </w:r>
      <w:r w:rsidR="006A658E">
        <w:rPr>
          <w:noProof/>
        </w:rPr>
        <w:drawing>
          <wp:inline distT="0" distB="0" distL="0" distR="0" wp14:anchorId="45B2D3E5" wp14:editId="7A8CBD33">
            <wp:extent cx="2914650" cy="2248728"/>
            <wp:effectExtent l="0" t="0" r="0" b="18415"/>
            <wp:docPr id="1835038804" name="Chart 1">
              <a:extLst xmlns:a="http://schemas.openxmlformats.org/drawingml/2006/main">
                <a:ext uri="{FF2B5EF4-FFF2-40B4-BE49-F238E27FC236}">
                  <a16:creationId xmlns:a16="http://schemas.microsoft.com/office/drawing/2014/main" id="{B0736C98-F46A-834C-DC49-146A969173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A658E">
        <w:rPr>
          <w:noProof/>
        </w:rPr>
        <w:drawing>
          <wp:inline distT="0" distB="0" distL="0" distR="0" wp14:anchorId="24850551" wp14:editId="09544B27">
            <wp:extent cx="2724150" cy="2253643"/>
            <wp:effectExtent l="0" t="0" r="0" b="13335"/>
            <wp:docPr id="272917502" name="Chart 1">
              <a:extLst xmlns:a="http://schemas.openxmlformats.org/drawingml/2006/main">
                <a:ext uri="{FF2B5EF4-FFF2-40B4-BE49-F238E27FC236}">
                  <a16:creationId xmlns:a16="http://schemas.microsoft.com/office/drawing/2014/main" id="{867DE98A-A855-9705-A428-21356CEE0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CB1618" w14:textId="0AE3E918" w:rsidR="0048456A" w:rsidRDefault="006A658E" w:rsidP="00B4470B">
      <w:r>
        <w:rPr>
          <w:noProof/>
        </w:rPr>
        <w:drawing>
          <wp:inline distT="0" distB="0" distL="0" distR="0" wp14:anchorId="14FA4DA6" wp14:editId="4C78FDD4">
            <wp:extent cx="5724525" cy="2828925"/>
            <wp:effectExtent l="0" t="0" r="9525" b="9525"/>
            <wp:docPr id="952692154" name="Chart 1">
              <a:extLst xmlns:a="http://schemas.openxmlformats.org/drawingml/2006/main">
                <a:ext uri="{FF2B5EF4-FFF2-40B4-BE49-F238E27FC236}">
                  <a16:creationId xmlns:a16="http://schemas.microsoft.com/office/drawing/2014/main" id="{9DA5CD33-DDC0-6873-FFC3-C48C51E1F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D3239B9" w14:textId="332E9523" w:rsidR="00F66CC5" w:rsidRDefault="00F66CC5" w:rsidP="00F66CC5">
      <w:pPr>
        <w:pStyle w:val="Caption"/>
        <w:rPr>
          <w:b w:val="0"/>
          <w:bCs w:val="0"/>
        </w:rPr>
      </w:pPr>
      <w:bookmarkStart w:id="133" w:name="_Toc222131932"/>
      <w:r>
        <w:t xml:space="preserve">Figure </w:t>
      </w:r>
      <w:r>
        <w:fldChar w:fldCharType="begin"/>
      </w:r>
      <w:r>
        <w:instrText xml:space="preserve"> STYLEREF 1 \s </w:instrText>
      </w:r>
      <w:r>
        <w:fldChar w:fldCharType="separate"/>
      </w:r>
      <w:r>
        <w:rPr>
          <w:noProof/>
        </w:rPr>
        <w:t>6</w:t>
      </w:r>
      <w:r>
        <w:fldChar w:fldCharType="end"/>
      </w:r>
      <w:r>
        <w:t>.</w:t>
      </w:r>
      <w:r>
        <w:fldChar w:fldCharType="begin"/>
      </w:r>
      <w:r>
        <w:instrText xml:space="preserve"> SEQ Figure \* ARABIC \s 1 </w:instrText>
      </w:r>
      <w:r>
        <w:fldChar w:fldCharType="separate"/>
      </w:r>
      <w:r>
        <w:rPr>
          <w:noProof/>
        </w:rPr>
        <w:t>2</w:t>
      </w:r>
      <w:r>
        <w:fldChar w:fldCharType="end"/>
      </w:r>
      <w:r>
        <w:t xml:space="preserve"> - Projected proportion of compliant and non-compliant Diesel Cars, Diesel LGVs and Buses entering the Clean Air Zone from 2025 – 2030</w:t>
      </w:r>
      <w:bookmarkEnd w:id="133"/>
    </w:p>
    <w:p w14:paraId="59779F97" w14:textId="77777777" w:rsidR="00F66CC5" w:rsidRDefault="00F66CC5" w:rsidP="00B4470B">
      <w:pPr>
        <w:rPr>
          <w:b/>
          <w:bCs/>
          <w:color w:val="006726"/>
        </w:rPr>
      </w:pPr>
    </w:p>
    <w:p w14:paraId="54B0D84E" w14:textId="4368B1DB" w:rsidR="00FB23F4" w:rsidRPr="00FB23F4" w:rsidRDefault="00FB23F4" w:rsidP="00B4470B">
      <w:r>
        <w:t>The reduction in annual mean NO</w:t>
      </w:r>
      <w:r w:rsidRPr="00FB23F4">
        <w:rPr>
          <w:vertAlign w:val="subscript"/>
        </w:rPr>
        <w:t xml:space="preserve">2 </w:t>
      </w:r>
      <w:r>
        <w:t>concentrations and the increase in vehicle compliance are</w:t>
      </w:r>
      <w:r w:rsidRPr="00FB23F4">
        <w:t xml:space="preserve"> evidence of the effect </w:t>
      </w:r>
      <w:r>
        <w:t>which the</w:t>
      </w:r>
      <w:r w:rsidRPr="00FB23F4">
        <w:t xml:space="preserve"> </w:t>
      </w:r>
      <w:r>
        <w:t xml:space="preserve">CAZ </w:t>
      </w:r>
      <w:r w:rsidRPr="00FB23F4">
        <w:t xml:space="preserve">has had up to now. </w:t>
      </w:r>
      <w:r>
        <w:t>The CAZ will stay in place until compliance with the annual mean NO</w:t>
      </w:r>
      <w:r w:rsidRPr="00FB23F4">
        <w:rPr>
          <w:vertAlign w:val="subscript"/>
        </w:rPr>
        <w:t>2</w:t>
      </w:r>
      <w:r>
        <w:t xml:space="preserve"> Limit Value is achieved. The benefits of the CAZ will continue to be felt into the future over the lifetime of this AQAP by restricting access to old and polluting vehicle types. </w:t>
      </w:r>
    </w:p>
    <w:p w14:paraId="0DDDFCBB" w14:textId="242000A1" w:rsidR="00627A74" w:rsidRDefault="00627A74" w:rsidP="00F630B6">
      <w:pPr>
        <w:pStyle w:val="Heading2"/>
      </w:pPr>
      <w:bookmarkStart w:id="134" w:name="_Toc222131883"/>
      <w:r>
        <w:t>Measure 2 – Electrifying the bus fleet</w:t>
      </w:r>
      <w:bookmarkEnd w:id="134"/>
    </w:p>
    <w:p w14:paraId="35AF8871" w14:textId="123E5E82" w:rsidR="00840A16" w:rsidRDefault="00FB23F4" w:rsidP="00840A16">
      <w:r>
        <w:t>NECA has provided a delivery plan of electrifying the bus fleet in 202</w:t>
      </w:r>
      <w:r w:rsidR="00B57A2E">
        <w:t>6</w:t>
      </w:r>
      <w:r>
        <w:t xml:space="preserve">. The services being electrified going past the two exceeding locations, Market Street (DT8) and St </w:t>
      </w:r>
      <w:r>
        <w:lastRenderedPageBreak/>
        <w:t>Mary’s Place (DT5/115/116), have been identified and the number of average daily buses calculated based on the timetables available</w:t>
      </w:r>
      <w:r w:rsidR="002A08F0">
        <w:t xml:space="preserve"> as shown in </w:t>
      </w:r>
      <w:r w:rsidR="002A08F0">
        <w:fldChar w:fldCharType="begin"/>
      </w:r>
      <w:r w:rsidR="002A08F0">
        <w:instrText xml:space="preserve"> REF _Ref210055524 \h </w:instrText>
      </w:r>
      <w:r w:rsidR="002A08F0">
        <w:fldChar w:fldCharType="separate"/>
      </w:r>
      <w:r w:rsidR="002A08F0" w:rsidRPr="00E3664B">
        <w:t xml:space="preserve">Table </w:t>
      </w:r>
      <w:r w:rsidR="002A08F0">
        <w:rPr>
          <w:noProof/>
        </w:rPr>
        <w:t>6</w:t>
      </w:r>
      <w:r w:rsidR="002A08F0">
        <w:t>.</w:t>
      </w:r>
      <w:r w:rsidR="002A08F0">
        <w:rPr>
          <w:noProof/>
        </w:rPr>
        <w:t>2</w:t>
      </w:r>
      <w:r w:rsidR="002A08F0">
        <w:fldChar w:fldCharType="end"/>
      </w:r>
      <w:r>
        <w:t xml:space="preserve">. The Service 21, 58 and 30/31 go past DT8 while only Service 21 and 30/31 also go past DT5/115/116. </w:t>
      </w:r>
      <w:r w:rsidR="00B14CF5">
        <w:t>The delivery plan is predicted to result in 17.3% of buses that go past DT8 and DT5/115/116 to be electrified in 2026 (</w:t>
      </w:r>
      <w:r w:rsidR="00B14CF5">
        <w:fldChar w:fldCharType="begin"/>
      </w:r>
      <w:r w:rsidR="00B14CF5">
        <w:instrText xml:space="preserve"> REF _Ref210383111 \h </w:instrText>
      </w:r>
      <w:r w:rsidR="00B14CF5">
        <w:fldChar w:fldCharType="separate"/>
      </w:r>
      <w:r w:rsidR="00B14CF5" w:rsidRPr="00E3664B">
        <w:t xml:space="preserve">Table </w:t>
      </w:r>
      <w:r w:rsidR="00B14CF5">
        <w:rPr>
          <w:noProof/>
        </w:rPr>
        <w:t>6</w:t>
      </w:r>
      <w:r w:rsidR="00B14CF5">
        <w:t>.</w:t>
      </w:r>
      <w:r w:rsidR="00B14CF5">
        <w:rPr>
          <w:noProof/>
        </w:rPr>
        <w:t>3</w:t>
      </w:r>
      <w:r w:rsidR="00B14CF5">
        <w:fldChar w:fldCharType="end"/>
      </w:r>
      <w:r w:rsidR="00B14CF5">
        <w:t>).</w:t>
      </w:r>
    </w:p>
    <w:p w14:paraId="17AA5BEF" w14:textId="2E87253E" w:rsidR="002A08F0" w:rsidRDefault="002A08F0" w:rsidP="002A08F0">
      <w:pPr>
        <w:pStyle w:val="Caption"/>
      </w:pPr>
      <w:bookmarkStart w:id="135" w:name="_Ref210055524"/>
      <w:bookmarkStart w:id="136" w:name="_Toc222131907"/>
      <w:r w:rsidRPr="00E3664B">
        <w:t xml:space="preserve">Table </w:t>
      </w:r>
      <w:r>
        <w:fldChar w:fldCharType="begin"/>
      </w:r>
      <w:r>
        <w:instrText>STYLEREF 1 \s</w:instrText>
      </w:r>
      <w:r>
        <w:fldChar w:fldCharType="separate"/>
      </w:r>
      <w:r>
        <w:rPr>
          <w:noProof/>
        </w:rPr>
        <w:t>6</w:t>
      </w:r>
      <w:r>
        <w:fldChar w:fldCharType="end"/>
      </w:r>
      <w:r>
        <w:t>.</w:t>
      </w:r>
      <w:r>
        <w:fldChar w:fldCharType="begin"/>
      </w:r>
      <w:r>
        <w:instrText>SEQ Table \* ARABIC \s 1</w:instrText>
      </w:r>
      <w:r>
        <w:fldChar w:fldCharType="separate"/>
      </w:r>
      <w:r>
        <w:rPr>
          <w:noProof/>
        </w:rPr>
        <w:t>2</w:t>
      </w:r>
      <w:r>
        <w:fldChar w:fldCharType="end"/>
      </w:r>
      <w:bookmarkEnd w:id="135"/>
      <w:r w:rsidRPr="00E3664B">
        <w:t xml:space="preserve"> </w:t>
      </w:r>
      <w:r w:rsidRPr="00BE428E">
        <w:t>‒</w:t>
      </w:r>
      <w:r w:rsidRPr="00E3664B">
        <w:t xml:space="preserve"> </w:t>
      </w:r>
      <w:r>
        <w:t>Average daily buses going through Market Street and St Mary’s Place that are part of the bus electrification plans</w:t>
      </w:r>
      <w:bookmarkEnd w:id="136"/>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3234"/>
        <w:gridCol w:w="5826"/>
      </w:tblGrid>
      <w:tr w:rsidR="002A08F0" w:rsidRPr="002A53BD" w14:paraId="2D80FC09" w14:textId="77777777" w:rsidTr="002A08F0">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785" w:type="pct"/>
            <w:vMerge w:val="restart"/>
            <w:shd w:val="clear" w:color="auto" w:fill="006600"/>
          </w:tcPr>
          <w:p w14:paraId="084B3691" w14:textId="683FFE3A" w:rsidR="002A08F0" w:rsidRPr="002A08F0" w:rsidRDefault="002A08F0" w:rsidP="00930768">
            <w:pPr>
              <w:spacing w:before="0" w:after="0" w:line="240" w:lineRule="auto"/>
              <w:rPr>
                <w:bCs/>
                <w:color w:val="FFFFFF" w:themeColor="background1"/>
              </w:rPr>
            </w:pPr>
            <w:r w:rsidRPr="002A08F0">
              <w:rPr>
                <w:bCs/>
                <w:color w:val="FFFFFF" w:themeColor="background1"/>
              </w:rPr>
              <w:t>Bus Service</w:t>
            </w:r>
          </w:p>
        </w:tc>
        <w:tc>
          <w:tcPr>
            <w:tcW w:w="3215" w:type="pct"/>
            <w:vMerge w:val="restart"/>
            <w:shd w:val="clear" w:color="auto" w:fill="006600"/>
          </w:tcPr>
          <w:p w14:paraId="48791E49" w14:textId="4579DBEB" w:rsidR="002A08F0" w:rsidRPr="002A08F0" w:rsidRDefault="002A08F0" w:rsidP="0093076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2A08F0">
              <w:rPr>
                <w:bCs/>
                <w:color w:val="FFFFFF" w:themeColor="background1"/>
              </w:rPr>
              <w:t>Number of Average Daily Buses</w:t>
            </w:r>
          </w:p>
        </w:tc>
      </w:tr>
      <w:tr w:rsidR="002A08F0" w:rsidRPr="002A53BD" w14:paraId="57658D6F" w14:textId="77777777" w:rsidTr="002A08F0">
        <w:trPr>
          <w:trHeight w:val="315"/>
        </w:trPr>
        <w:tc>
          <w:tcPr>
            <w:cnfStyle w:val="001000000000" w:firstRow="0" w:lastRow="0" w:firstColumn="1" w:lastColumn="0" w:oddVBand="0" w:evenVBand="0" w:oddHBand="0" w:evenHBand="0" w:firstRowFirstColumn="0" w:firstRowLastColumn="0" w:lastRowFirstColumn="0" w:lastRowLastColumn="0"/>
            <w:tcW w:w="1785" w:type="pct"/>
            <w:vMerge/>
            <w:shd w:val="clear" w:color="auto" w:fill="006600"/>
          </w:tcPr>
          <w:p w14:paraId="4851C16E" w14:textId="77777777" w:rsidR="002A08F0" w:rsidRPr="002A53BD" w:rsidRDefault="002A08F0" w:rsidP="00930768">
            <w:pPr>
              <w:spacing w:before="0" w:after="0" w:line="240" w:lineRule="auto"/>
              <w:rPr>
                <w:rFonts w:eastAsia="Times New Roman" w:cs="Arial"/>
                <w:bCs/>
                <w:color w:val="FFFFFF" w:themeColor="background1"/>
                <w:lang w:val="en-US" w:eastAsia="zh-CN"/>
              </w:rPr>
            </w:pPr>
          </w:p>
        </w:tc>
        <w:tc>
          <w:tcPr>
            <w:tcW w:w="3215" w:type="pct"/>
            <w:vMerge/>
            <w:shd w:val="clear" w:color="auto" w:fill="006600"/>
          </w:tcPr>
          <w:p w14:paraId="037682D7" w14:textId="77777777" w:rsidR="002A08F0" w:rsidRPr="002A53BD" w:rsidRDefault="002A08F0" w:rsidP="0093076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FFFFFF" w:themeColor="background1"/>
                <w:lang w:val="en-US" w:eastAsia="zh-CN"/>
              </w:rPr>
            </w:pPr>
          </w:p>
        </w:tc>
      </w:tr>
      <w:tr w:rsidR="002A08F0" w:rsidRPr="002A53BD" w14:paraId="26D67F44" w14:textId="77777777" w:rsidTr="002A08F0">
        <w:trPr>
          <w:trHeight w:val="880"/>
        </w:trPr>
        <w:tc>
          <w:tcPr>
            <w:cnfStyle w:val="001000000000" w:firstRow="0" w:lastRow="0" w:firstColumn="1" w:lastColumn="0" w:oddVBand="0" w:evenVBand="0" w:oddHBand="0" w:evenHBand="0" w:firstRowFirstColumn="0" w:firstRowLastColumn="0" w:lastRowFirstColumn="0" w:lastRowLastColumn="0"/>
            <w:tcW w:w="1785" w:type="pct"/>
          </w:tcPr>
          <w:p w14:paraId="6DEFAD12" w14:textId="038234CF" w:rsidR="002A08F0" w:rsidRPr="003264CE" w:rsidRDefault="002A08F0" w:rsidP="00930768">
            <w:pPr>
              <w:spacing w:before="0" w:after="0" w:line="240" w:lineRule="auto"/>
              <w:rPr>
                <w:rFonts w:eastAsia="Times New Roman" w:cs="Arial"/>
                <w:sz w:val="22"/>
                <w:szCs w:val="22"/>
                <w:lang w:val="en-US" w:eastAsia="zh-CN"/>
              </w:rPr>
            </w:pPr>
            <w:r>
              <w:rPr>
                <w:rFonts w:eastAsia="Times New Roman" w:cs="Arial"/>
                <w:sz w:val="22"/>
                <w:szCs w:val="22"/>
                <w:lang w:val="en-US" w:eastAsia="zh-CN"/>
              </w:rPr>
              <w:t>Service 21</w:t>
            </w:r>
          </w:p>
        </w:tc>
        <w:tc>
          <w:tcPr>
            <w:tcW w:w="3215" w:type="pct"/>
          </w:tcPr>
          <w:p w14:paraId="1ECF6BE6" w14:textId="7C7EA712" w:rsidR="002A08F0" w:rsidRPr="002A08F0" w:rsidRDefault="002A08F0" w:rsidP="0093076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vertAlign w:val="superscript"/>
                <w:lang w:val="en-US" w:eastAsia="zh-CN"/>
              </w:rPr>
            </w:pPr>
            <w:r>
              <w:rPr>
                <w:rFonts w:eastAsia="Times New Roman" w:cs="Arial"/>
                <w:sz w:val="22"/>
                <w:szCs w:val="22"/>
                <w:lang w:val="en-US" w:eastAsia="zh-CN"/>
              </w:rPr>
              <w:t>109</w:t>
            </w:r>
            <w:r>
              <w:rPr>
                <w:rFonts w:eastAsia="Times New Roman" w:cs="Arial"/>
                <w:sz w:val="22"/>
                <w:szCs w:val="22"/>
                <w:vertAlign w:val="superscript"/>
                <w:lang w:val="en-US" w:eastAsia="zh-CN"/>
              </w:rPr>
              <w:t>1</w:t>
            </w:r>
          </w:p>
        </w:tc>
      </w:tr>
      <w:tr w:rsidR="002A08F0" w:rsidRPr="002A53BD" w14:paraId="78F9BE2F" w14:textId="77777777" w:rsidTr="002A08F0">
        <w:trPr>
          <w:trHeight w:val="880"/>
        </w:trPr>
        <w:tc>
          <w:tcPr>
            <w:cnfStyle w:val="001000000000" w:firstRow="0" w:lastRow="0" w:firstColumn="1" w:lastColumn="0" w:oddVBand="0" w:evenVBand="0" w:oddHBand="0" w:evenHBand="0" w:firstRowFirstColumn="0" w:firstRowLastColumn="0" w:lastRowFirstColumn="0" w:lastRowLastColumn="0"/>
            <w:tcW w:w="1785" w:type="pct"/>
          </w:tcPr>
          <w:p w14:paraId="05FF58BE" w14:textId="5045023B" w:rsidR="002A08F0" w:rsidRDefault="002A08F0" w:rsidP="00930768">
            <w:pPr>
              <w:spacing w:before="0" w:after="0" w:line="240" w:lineRule="auto"/>
              <w:rPr>
                <w:rFonts w:cs="Arial"/>
                <w:sz w:val="22"/>
                <w:szCs w:val="22"/>
                <w:lang w:val="en-US" w:eastAsia="zh-CN"/>
              </w:rPr>
            </w:pPr>
            <w:r>
              <w:rPr>
                <w:rFonts w:cs="Arial"/>
                <w:sz w:val="22"/>
                <w:szCs w:val="22"/>
                <w:lang w:val="en-US" w:eastAsia="zh-CN"/>
              </w:rPr>
              <w:t>Service 58</w:t>
            </w:r>
          </w:p>
        </w:tc>
        <w:tc>
          <w:tcPr>
            <w:tcW w:w="3215" w:type="pct"/>
          </w:tcPr>
          <w:p w14:paraId="2FFC313D" w14:textId="21DC568D" w:rsidR="002A08F0" w:rsidRPr="002A08F0" w:rsidRDefault="002A08F0" w:rsidP="0093076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20</w:t>
            </w:r>
            <w:r>
              <w:rPr>
                <w:rFonts w:cs="Arial"/>
                <w:sz w:val="22"/>
                <w:szCs w:val="22"/>
                <w:vertAlign w:val="superscript"/>
                <w:lang w:val="en-US" w:eastAsia="zh-CN"/>
              </w:rPr>
              <w:t>2</w:t>
            </w:r>
          </w:p>
        </w:tc>
      </w:tr>
      <w:tr w:rsidR="002A08F0" w:rsidRPr="002A53BD" w14:paraId="018A2DAF" w14:textId="77777777" w:rsidTr="002A08F0">
        <w:trPr>
          <w:trHeight w:val="880"/>
        </w:trPr>
        <w:tc>
          <w:tcPr>
            <w:cnfStyle w:val="001000000000" w:firstRow="0" w:lastRow="0" w:firstColumn="1" w:lastColumn="0" w:oddVBand="0" w:evenVBand="0" w:oddHBand="0" w:evenHBand="0" w:firstRowFirstColumn="0" w:firstRowLastColumn="0" w:lastRowFirstColumn="0" w:lastRowLastColumn="0"/>
            <w:tcW w:w="1785" w:type="pct"/>
          </w:tcPr>
          <w:p w14:paraId="1B4A5D41" w14:textId="0CC88543" w:rsidR="002A08F0" w:rsidRDefault="002A08F0" w:rsidP="00930768">
            <w:pPr>
              <w:spacing w:before="0" w:after="0" w:line="240" w:lineRule="auto"/>
              <w:rPr>
                <w:rFonts w:cs="Arial"/>
                <w:sz w:val="22"/>
                <w:szCs w:val="22"/>
                <w:lang w:val="en-US" w:eastAsia="zh-CN"/>
              </w:rPr>
            </w:pPr>
            <w:r>
              <w:rPr>
                <w:rFonts w:cs="Arial"/>
                <w:sz w:val="22"/>
                <w:szCs w:val="22"/>
                <w:lang w:val="en-US" w:eastAsia="zh-CN"/>
              </w:rPr>
              <w:t>Service 30/31</w:t>
            </w:r>
          </w:p>
        </w:tc>
        <w:tc>
          <w:tcPr>
            <w:tcW w:w="3215" w:type="pct"/>
          </w:tcPr>
          <w:p w14:paraId="0EE85178" w14:textId="1CF12030" w:rsidR="002A08F0" w:rsidRPr="002A08F0" w:rsidRDefault="002A08F0" w:rsidP="0093076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40</w:t>
            </w:r>
            <w:r>
              <w:rPr>
                <w:rFonts w:cs="Arial"/>
                <w:sz w:val="22"/>
                <w:szCs w:val="22"/>
                <w:vertAlign w:val="superscript"/>
                <w:lang w:val="en-US" w:eastAsia="zh-CN"/>
              </w:rPr>
              <w:t>3</w:t>
            </w:r>
          </w:p>
        </w:tc>
      </w:tr>
      <w:tr w:rsidR="002A08F0" w:rsidRPr="002A53BD" w14:paraId="42D6C3E1" w14:textId="77777777" w:rsidTr="002A08F0">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2"/>
          </w:tcPr>
          <w:p w14:paraId="2585E9AD" w14:textId="17F57823" w:rsidR="002A08F0" w:rsidRPr="002A08F0" w:rsidRDefault="00B57A2E" w:rsidP="002A08F0">
            <w:pPr>
              <w:spacing w:before="0" w:after="0" w:line="240" w:lineRule="auto"/>
              <w:jc w:val="left"/>
              <w:rPr>
                <w:rFonts w:cs="Arial"/>
                <w:sz w:val="22"/>
                <w:szCs w:val="22"/>
                <w:lang w:val="en-US" w:eastAsia="zh-CN"/>
              </w:rPr>
            </w:pPr>
            <w:r w:rsidRPr="00DF643F">
              <w:rPr>
                <w:rFonts w:cs="Arial"/>
                <w:b/>
                <w:bCs/>
                <w:sz w:val="22"/>
                <w:szCs w:val="22"/>
                <w:lang w:val="en-US" w:eastAsia="zh-CN"/>
              </w:rPr>
              <w:t>Note:</w:t>
            </w:r>
            <w:r>
              <w:rPr>
                <w:rFonts w:cs="Arial"/>
                <w:sz w:val="22"/>
                <w:szCs w:val="22"/>
                <w:lang w:val="en-US" w:eastAsia="zh-CN"/>
              </w:rPr>
              <w:t xml:space="preserve"> </w:t>
            </w:r>
            <w:r w:rsidR="002A08F0">
              <w:rPr>
                <w:rFonts w:cs="Arial"/>
                <w:sz w:val="22"/>
                <w:szCs w:val="22"/>
                <w:vertAlign w:val="superscript"/>
                <w:lang w:val="en-US" w:eastAsia="zh-CN"/>
              </w:rPr>
              <w:t>1</w:t>
            </w:r>
            <w:r w:rsidR="002A08F0">
              <w:rPr>
                <w:rFonts w:cs="Arial"/>
                <w:sz w:val="22"/>
                <w:szCs w:val="22"/>
                <w:lang w:val="en-US" w:eastAsia="zh-CN"/>
              </w:rPr>
              <w:t xml:space="preserve"> based on the available timetable here: </w:t>
            </w:r>
            <w:hyperlink r:id="rId46" w:history="1">
              <w:r w:rsidR="002A08F0" w:rsidRPr="002A08F0">
                <w:rPr>
                  <w:rStyle w:val="Hyperlink"/>
                </w:rPr>
                <w:t>Angel 21 - Newcastle to Durham and Brandon | Go North East</w:t>
              </w:r>
            </w:hyperlink>
          </w:p>
          <w:p w14:paraId="7DFAC7D0" w14:textId="22709B95" w:rsidR="002A08F0" w:rsidRPr="002A08F0" w:rsidRDefault="002A08F0" w:rsidP="002A08F0">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2 </w:t>
            </w:r>
            <w:r>
              <w:rPr>
                <w:rFonts w:cs="Arial"/>
                <w:sz w:val="22"/>
                <w:szCs w:val="22"/>
                <w:lang w:val="en-US" w:eastAsia="zh-CN"/>
              </w:rPr>
              <w:t xml:space="preserve">based on the available timetable here: </w:t>
            </w:r>
            <w:hyperlink r:id="rId47" w:history="1">
              <w:r w:rsidRPr="002A08F0">
                <w:rPr>
                  <w:rStyle w:val="Hyperlink"/>
                </w:rPr>
                <w:t>East Gateshead Rider 58 - Newcastle to Heworth and Follingsby Amazon | Go North East</w:t>
              </w:r>
            </w:hyperlink>
          </w:p>
          <w:p w14:paraId="60A20641" w14:textId="72FBFBAE" w:rsidR="002A08F0" w:rsidRPr="002A08F0" w:rsidRDefault="002A08F0" w:rsidP="002A08F0">
            <w:pPr>
              <w:spacing w:before="0" w:after="0" w:line="240" w:lineRule="auto"/>
              <w:jc w:val="left"/>
              <w:rPr>
                <w:rFonts w:cs="Arial"/>
                <w:sz w:val="22"/>
                <w:szCs w:val="22"/>
                <w:lang w:val="en-US" w:eastAsia="zh-CN"/>
              </w:rPr>
            </w:pPr>
            <w:r>
              <w:rPr>
                <w:rFonts w:cs="Arial"/>
                <w:sz w:val="22"/>
                <w:szCs w:val="22"/>
                <w:vertAlign w:val="superscript"/>
                <w:lang w:val="en-US" w:eastAsia="zh-CN"/>
              </w:rPr>
              <w:t>3</w:t>
            </w:r>
            <w:r>
              <w:rPr>
                <w:rFonts w:cs="Arial"/>
                <w:sz w:val="22"/>
                <w:szCs w:val="22"/>
                <w:lang w:val="en-US" w:eastAsia="zh-CN"/>
              </w:rPr>
              <w:t xml:space="preserve"> based on the available timetable here:</w:t>
            </w:r>
            <w:r>
              <w:t xml:space="preserve"> </w:t>
            </w:r>
            <w:hyperlink r:id="rId48" w:history="1">
              <w:r w:rsidRPr="002A08F0">
                <w:rPr>
                  <w:rStyle w:val="Hyperlink"/>
                </w:rPr>
                <w:t>30 Bus Route &amp; Timetable: Fenham - Fawdon, Montagu Estate or City Centre | Stagecoach</w:t>
              </w:r>
            </w:hyperlink>
          </w:p>
        </w:tc>
      </w:tr>
    </w:tbl>
    <w:p w14:paraId="5A43538F" w14:textId="1C620403" w:rsidR="00B57A2E" w:rsidRPr="002A08F0" w:rsidRDefault="00B57A2E" w:rsidP="00DF643F">
      <w:pPr>
        <w:pStyle w:val="Caption"/>
      </w:pPr>
      <w:bookmarkStart w:id="137" w:name="_Ref210383111"/>
      <w:bookmarkStart w:id="138" w:name="_Toc222131908"/>
      <w:r w:rsidRPr="00E3664B">
        <w:t xml:space="preserve">Table </w:t>
      </w:r>
      <w:r>
        <w:fldChar w:fldCharType="begin"/>
      </w:r>
      <w:r>
        <w:instrText>STYLEREF 1 \s</w:instrText>
      </w:r>
      <w:r>
        <w:fldChar w:fldCharType="separate"/>
      </w:r>
      <w:r>
        <w:rPr>
          <w:noProof/>
        </w:rPr>
        <w:t>6</w:t>
      </w:r>
      <w:r>
        <w:fldChar w:fldCharType="end"/>
      </w:r>
      <w:r>
        <w:t>.</w:t>
      </w:r>
      <w:r>
        <w:fldChar w:fldCharType="begin"/>
      </w:r>
      <w:r>
        <w:instrText>SEQ Table \* ARABIC \s 1</w:instrText>
      </w:r>
      <w:r>
        <w:fldChar w:fldCharType="separate"/>
      </w:r>
      <w:r>
        <w:rPr>
          <w:noProof/>
        </w:rPr>
        <w:t>3</w:t>
      </w:r>
      <w:r>
        <w:fldChar w:fldCharType="end"/>
      </w:r>
      <w:bookmarkEnd w:id="137"/>
      <w:r w:rsidRPr="00E3664B">
        <w:t xml:space="preserve"> </w:t>
      </w:r>
      <w:r w:rsidRPr="00BE428E">
        <w:t>‒</w:t>
      </w:r>
      <w:r w:rsidRPr="00E3664B">
        <w:t xml:space="preserve"> </w:t>
      </w:r>
      <w:r>
        <w:t>Proportions of buses to be electrified in 2026</w:t>
      </w:r>
      <w:bookmarkEnd w:id="138"/>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1599"/>
        <w:gridCol w:w="2487"/>
        <w:gridCol w:w="2488"/>
        <w:gridCol w:w="2486"/>
      </w:tblGrid>
      <w:tr w:rsidR="00B57A2E" w:rsidRPr="002A53BD" w14:paraId="2A8CE792" w14:textId="48FB3D97" w:rsidTr="00DF643F">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882" w:type="pct"/>
            <w:shd w:val="clear" w:color="auto" w:fill="006600"/>
          </w:tcPr>
          <w:p w14:paraId="265281CC" w14:textId="4DEB3E82" w:rsidR="00B57A2E" w:rsidRPr="002A08F0" w:rsidRDefault="00B57A2E" w:rsidP="00BA4081">
            <w:pPr>
              <w:spacing w:before="0" w:after="0" w:line="240" w:lineRule="auto"/>
              <w:rPr>
                <w:bCs/>
                <w:color w:val="FFFFFF" w:themeColor="background1"/>
              </w:rPr>
            </w:pPr>
            <w:r>
              <w:rPr>
                <w:bCs/>
                <w:color w:val="FFFFFF" w:themeColor="background1"/>
              </w:rPr>
              <w:t>Monitoring location</w:t>
            </w:r>
          </w:p>
        </w:tc>
        <w:tc>
          <w:tcPr>
            <w:tcW w:w="1373" w:type="pct"/>
            <w:shd w:val="clear" w:color="auto" w:fill="006600"/>
          </w:tcPr>
          <w:p w14:paraId="464A46DA" w14:textId="557EF059" w:rsidR="00B57A2E" w:rsidRPr="002A08F0" w:rsidRDefault="00B57A2E" w:rsidP="00BA4081">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Total Number of Diesel Buses in 2026</w:t>
            </w:r>
          </w:p>
        </w:tc>
        <w:tc>
          <w:tcPr>
            <w:tcW w:w="1373" w:type="pct"/>
            <w:shd w:val="clear" w:color="auto" w:fill="006600"/>
          </w:tcPr>
          <w:p w14:paraId="61A90816" w14:textId="3E876871" w:rsidR="00B57A2E" w:rsidRDefault="00B57A2E" w:rsidP="00BA4081">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Total Number of Buses being electrified in 2026</w:t>
            </w:r>
          </w:p>
        </w:tc>
        <w:tc>
          <w:tcPr>
            <w:tcW w:w="1372" w:type="pct"/>
            <w:shd w:val="clear" w:color="auto" w:fill="006600"/>
          </w:tcPr>
          <w:p w14:paraId="69769861" w14:textId="1310FF3F" w:rsidR="00B57A2E" w:rsidRDefault="00B57A2E" w:rsidP="00BA4081">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 Proportion of electrified buses in 2026</w:t>
            </w:r>
          </w:p>
        </w:tc>
      </w:tr>
      <w:tr w:rsidR="00B57A2E" w:rsidRPr="002A53BD" w14:paraId="39543C7E" w14:textId="05C0A8DE" w:rsidTr="00DF643F">
        <w:trPr>
          <w:trHeight w:val="880"/>
        </w:trPr>
        <w:tc>
          <w:tcPr>
            <w:cnfStyle w:val="001000000000" w:firstRow="0" w:lastRow="0" w:firstColumn="1" w:lastColumn="0" w:oddVBand="0" w:evenVBand="0" w:oddHBand="0" w:evenHBand="0" w:firstRowFirstColumn="0" w:firstRowLastColumn="0" w:lastRowFirstColumn="0" w:lastRowLastColumn="0"/>
            <w:tcW w:w="882" w:type="pct"/>
          </w:tcPr>
          <w:p w14:paraId="5AAEA096" w14:textId="25813F59" w:rsidR="00B57A2E" w:rsidRPr="003264CE" w:rsidRDefault="00B57A2E" w:rsidP="00BA4081">
            <w:pPr>
              <w:spacing w:before="0" w:after="0" w:line="240" w:lineRule="auto"/>
              <w:rPr>
                <w:rFonts w:eastAsia="Times New Roman" w:cs="Arial"/>
                <w:sz w:val="22"/>
                <w:szCs w:val="22"/>
                <w:lang w:val="en-US" w:eastAsia="zh-CN"/>
              </w:rPr>
            </w:pPr>
            <w:r>
              <w:rPr>
                <w:rFonts w:eastAsia="Times New Roman" w:cs="Arial"/>
                <w:sz w:val="22"/>
                <w:szCs w:val="22"/>
                <w:lang w:val="en-US" w:eastAsia="zh-CN"/>
              </w:rPr>
              <w:t>Market Street (DT8)</w:t>
            </w:r>
          </w:p>
        </w:tc>
        <w:tc>
          <w:tcPr>
            <w:tcW w:w="1373" w:type="pct"/>
          </w:tcPr>
          <w:p w14:paraId="785393A6" w14:textId="0FA763AA" w:rsidR="00B57A2E" w:rsidRPr="00B57A2E"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vertAlign w:val="superscript"/>
                <w:lang w:val="en-US" w:eastAsia="zh-CN"/>
              </w:rPr>
            </w:pPr>
            <w:r>
              <w:rPr>
                <w:rFonts w:eastAsia="Times New Roman" w:cs="Arial"/>
                <w:sz w:val="22"/>
                <w:szCs w:val="22"/>
                <w:lang w:val="en-US" w:eastAsia="zh-CN"/>
              </w:rPr>
              <w:t>979</w:t>
            </w:r>
            <w:r>
              <w:rPr>
                <w:rFonts w:eastAsia="Times New Roman" w:cs="Arial"/>
                <w:sz w:val="22"/>
                <w:szCs w:val="22"/>
                <w:vertAlign w:val="superscript"/>
                <w:lang w:val="en-US" w:eastAsia="zh-CN"/>
              </w:rPr>
              <w:t>1</w:t>
            </w:r>
          </w:p>
        </w:tc>
        <w:tc>
          <w:tcPr>
            <w:tcW w:w="1373" w:type="pct"/>
          </w:tcPr>
          <w:p w14:paraId="41D7C6BC" w14:textId="72300DCF" w:rsidR="00B57A2E" w:rsidRPr="00DF643F"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169</w:t>
            </w:r>
            <w:r>
              <w:rPr>
                <w:rFonts w:cs="Arial"/>
                <w:sz w:val="22"/>
                <w:szCs w:val="22"/>
                <w:vertAlign w:val="superscript"/>
                <w:lang w:val="en-US" w:eastAsia="zh-CN"/>
              </w:rPr>
              <w:t>2</w:t>
            </w:r>
          </w:p>
        </w:tc>
        <w:tc>
          <w:tcPr>
            <w:tcW w:w="1372" w:type="pct"/>
          </w:tcPr>
          <w:p w14:paraId="4B1B0824" w14:textId="2F77C7C5" w:rsidR="00B57A2E"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17.3%</w:t>
            </w:r>
          </w:p>
        </w:tc>
      </w:tr>
      <w:tr w:rsidR="00B57A2E" w:rsidRPr="002A53BD" w14:paraId="7004237B" w14:textId="67142F75" w:rsidTr="00DF643F">
        <w:trPr>
          <w:trHeight w:val="880"/>
        </w:trPr>
        <w:tc>
          <w:tcPr>
            <w:cnfStyle w:val="001000000000" w:firstRow="0" w:lastRow="0" w:firstColumn="1" w:lastColumn="0" w:oddVBand="0" w:evenVBand="0" w:oddHBand="0" w:evenHBand="0" w:firstRowFirstColumn="0" w:firstRowLastColumn="0" w:lastRowFirstColumn="0" w:lastRowLastColumn="0"/>
            <w:tcW w:w="882" w:type="pct"/>
          </w:tcPr>
          <w:p w14:paraId="6FA18AE8" w14:textId="53CDD0CC" w:rsidR="00B57A2E" w:rsidRDefault="00B57A2E" w:rsidP="00BA4081">
            <w:pPr>
              <w:spacing w:before="0" w:after="0" w:line="240" w:lineRule="auto"/>
              <w:rPr>
                <w:rFonts w:cs="Arial"/>
                <w:sz w:val="22"/>
                <w:szCs w:val="22"/>
                <w:lang w:val="en-US" w:eastAsia="zh-CN"/>
              </w:rPr>
            </w:pPr>
            <w:r>
              <w:rPr>
                <w:rFonts w:cs="Arial"/>
                <w:sz w:val="22"/>
                <w:szCs w:val="22"/>
                <w:lang w:val="en-US" w:eastAsia="zh-CN"/>
              </w:rPr>
              <w:t>St Mary’s Place (DT5/115/116)</w:t>
            </w:r>
          </w:p>
        </w:tc>
        <w:tc>
          <w:tcPr>
            <w:tcW w:w="1373" w:type="pct"/>
          </w:tcPr>
          <w:p w14:paraId="235ADE05" w14:textId="5313F94C" w:rsidR="00B57A2E" w:rsidRPr="00B57A2E"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862</w:t>
            </w:r>
            <w:r>
              <w:rPr>
                <w:rFonts w:cs="Arial"/>
                <w:sz w:val="22"/>
                <w:szCs w:val="22"/>
                <w:vertAlign w:val="superscript"/>
                <w:lang w:val="en-US" w:eastAsia="zh-CN"/>
              </w:rPr>
              <w:t>1</w:t>
            </w:r>
          </w:p>
        </w:tc>
        <w:tc>
          <w:tcPr>
            <w:tcW w:w="1373" w:type="pct"/>
          </w:tcPr>
          <w:p w14:paraId="46E09222" w14:textId="4109F908" w:rsidR="00B57A2E" w:rsidRPr="00DF643F"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149</w:t>
            </w:r>
            <w:r>
              <w:rPr>
                <w:rFonts w:cs="Arial"/>
                <w:sz w:val="22"/>
                <w:szCs w:val="22"/>
                <w:vertAlign w:val="superscript"/>
                <w:lang w:val="en-US" w:eastAsia="zh-CN"/>
              </w:rPr>
              <w:t>2</w:t>
            </w:r>
          </w:p>
        </w:tc>
        <w:tc>
          <w:tcPr>
            <w:tcW w:w="1372" w:type="pct"/>
          </w:tcPr>
          <w:p w14:paraId="0C6D884E" w14:textId="5323B217" w:rsidR="00B57A2E" w:rsidRDefault="00B57A2E" w:rsidP="00BA4081">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17.3%</w:t>
            </w:r>
          </w:p>
        </w:tc>
      </w:tr>
      <w:tr w:rsidR="00B57A2E" w:rsidRPr="002A53BD" w14:paraId="232DC0BE" w14:textId="77777777" w:rsidTr="00B57A2E">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4"/>
          </w:tcPr>
          <w:p w14:paraId="4A2D6725" w14:textId="0D943FC3" w:rsidR="00B57A2E" w:rsidRDefault="00B57A2E" w:rsidP="00B57A2E">
            <w:pPr>
              <w:spacing w:before="0" w:after="0" w:line="240" w:lineRule="auto"/>
              <w:jc w:val="left"/>
              <w:rPr>
                <w:rFonts w:cs="Arial"/>
                <w:sz w:val="22"/>
                <w:szCs w:val="22"/>
                <w:lang w:val="en-US" w:eastAsia="zh-CN"/>
              </w:rPr>
            </w:pPr>
            <w:r w:rsidRPr="00DF643F">
              <w:rPr>
                <w:rFonts w:cs="Arial"/>
                <w:b/>
                <w:bCs/>
                <w:sz w:val="22"/>
                <w:szCs w:val="22"/>
                <w:lang w:val="en-US" w:eastAsia="zh-CN"/>
              </w:rPr>
              <w:t xml:space="preserve">Note: </w:t>
            </w:r>
            <w:r>
              <w:rPr>
                <w:rFonts w:cs="Arial"/>
                <w:sz w:val="22"/>
                <w:szCs w:val="22"/>
                <w:vertAlign w:val="superscript"/>
                <w:lang w:val="en-US" w:eastAsia="zh-CN"/>
              </w:rPr>
              <w:t>1</w:t>
            </w:r>
            <w:r>
              <w:rPr>
                <w:rFonts w:cs="Arial"/>
                <w:sz w:val="22"/>
                <w:szCs w:val="22"/>
                <w:lang w:val="en-US" w:eastAsia="zh-CN"/>
              </w:rPr>
              <w:t xml:space="preserve"> based on the TEMPro local traffic growth factors</w:t>
            </w:r>
          </w:p>
          <w:p w14:paraId="606BD095" w14:textId="47216FF9" w:rsidR="00B57A2E" w:rsidRPr="00B57A2E" w:rsidRDefault="00B57A2E" w:rsidP="00DF643F">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2 </w:t>
            </w:r>
            <w:r>
              <w:rPr>
                <w:rFonts w:cs="Arial"/>
                <w:sz w:val="22"/>
                <w:szCs w:val="22"/>
                <w:lang w:val="en-US" w:eastAsia="zh-CN"/>
              </w:rPr>
              <w:t>sum of average daily buses</w:t>
            </w:r>
          </w:p>
        </w:tc>
      </w:tr>
    </w:tbl>
    <w:p w14:paraId="09779B89" w14:textId="4C4D59FA" w:rsidR="00B14CF5" w:rsidRPr="00843ED5" w:rsidRDefault="009F62AD" w:rsidP="00B14CF5">
      <w:r>
        <w:t xml:space="preserve">It is predicted that the bus electrification will </w:t>
      </w:r>
      <w:r w:rsidR="00B14CF5">
        <w:t>result in a reduction of total NO</w:t>
      </w:r>
      <w:r w:rsidR="00B14CF5" w:rsidRPr="00724A56">
        <w:rPr>
          <w:vertAlign w:val="subscript"/>
        </w:rPr>
        <w:t>x</w:t>
      </w:r>
      <w:r w:rsidR="00B14CF5">
        <w:t xml:space="preserve"> emissions of 14.7% and 13.1% for Market Street and St Mary’s Place, respectively, </w:t>
      </w:r>
      <w:r w:rsidR="00B14CF5">
        <w:lastRenderedPageBreak/>
        <w:t>which translates in a reduction in annual mean NO</w:t>
      </w:r>
      <w:r w:rsidR="00B14CF5" w:rsidRPr="00724A56">
        <w:rPr>
          <w:vertAlign w:val="subscript"/>
        </w:rPr>
        <w:t>2</w:t>
      </w:r>
      <w:r w:rsidR="00B14CF5">
        <w:t xml:space="preserve"> concentrations </w:t>
      </w:r>
      <w:r w:rsidR="00B14CF5" w:rsidRPr="00843ED5">
        <w:t xml:space="preserve">of 2.9 </w:t>
      </w:r>
      <w:r w:rsidR="00B14CF5" w:rsidRPr="004A154B">
        <w:rPr>
          <w:lang w:val="en-IE"/>
        </w:rPr>
        <w:t>µg</w:t>
      </w:r>
      <w:r w:rsidR="00B14CF5" w:rsidRPr="008F5866">
        <w:rPr>
          <w:lang w:val="en-IE"/>
        </w:rPr>
        <w:t>/m</w:t>
      </w:r>
      <w:r w:rsidR="00B14CF5" w:rsidRPr="008F5866">
        <w:rPr>
          <w:vertAlign w:val="superscript"/>
          <w:lang w:val="en-IE"/>
        </w:rPr>
        <w:t>3</w:t>
      </w:r>
      <w:r w:rsidR="00B14CF5">
        <w:rPr>
          <w:vertAlign w:val="superscript"/>
          <w:lang w:val="en-IE"/>
        </w:rPr>
        <w:t xml:space="preserve"> </w:t>
      </w:r>
      <w:r w:rsidR="00B14CF5" w:rsidRPr="00843ED5">
        <w:t xml:space="preserve">and 2.4 </w:t>
      </w:r>
      <w:r w:rsidR="00B14CF5" w:rsidRPr="004A154B">
        <w:rPr>
          <w:lang w:val="en-IE"/>
        </w:rPr>
        <w:t>µg</w:t>
      </w:r>
      <w:r w:rsidR="00B14CF5" w:rsidRPr="008F5866">
        <w:rPr>
          <w:lang w:val="en-IE"/>
        </w:rPr>
        <w:t>/m</w:t>
      </w:r>
      <w:r w:rsidR="00B14CF5" w:rsidRPr="008F5866">
        <w:rPr>
          <w:vertAlign w:val="superscript"/>
          <w:lang w:val="en-IE"/>
        </w:rPr>
        <w:t>3</w:t>
      </w:r>
      <w:r>
        <w:rPr>
          <w:lang w:val="en-IE"/>
        </w:rPr>
        <w:t>, respectively (</w:t>
      </w:r>
      <w:r>
        <w:rPr>
          <w:lang w:val="en-IE"/>
        </w:rPr>
        <w:fldChar w:fldCharType="begin"/>
      </w:r>
      <w:r>
        <w:rPr>
          <w:lang w:val="en-IE"/>
        </w:rPr>
        <w:instrText xml:space="preserve"> REF _Ref210636713 \h </w:instrText>
      </w:r>
      <w:r>
        <w:rPr>
          <w:lang w:val="en-IE"/>
        </w:rPr>
      </w:r>
      <w:r>
        <w:rPr>
          <w:lang w:val="en-IE"/>
        </w:rPr>
        <w:fldChar w:fldCharType="separate"/>
      </w:r>
      <w:r w:rsidRPr="00E3664B">
        <w:t xml:space="preserve">Table </w:t>
      </w:r>
      <w:r>
        <w:rPr>
          <w:noProof/>
        </w:rPr>
        <w:t>6</w:t>
      </w:r>
      <w:r>
        <w:t>.</w:t>
      </w:r>
      <w:r>
        <w:rPr>
          <w:noProof/>
        </w:rPr>
        <w:t>4</w:t>
      </w:r>
      <w:r>
        <w:rPr>
          <w:lang w:val="en-IE"/>
        </w:rPr>
        <w:fldChar w:fldCharType="end"/>
      </w:r>
      <w:r>
        <w:rPr>
          <w:lang w:val="en-IE"/>
        </w:rPr>
        <w:t>).</w:t>
      </w:r>
    </w:p>
    <w:p w14:paraId="705A1095" w14:textId="66CBF82A" w:rsidR="00B14CF5" w:rsidRPr="002A08F0" w:rsidRDefault="00B14CF5" w:rsidP="00B14CF5">
      <w:pPr>
        <w:pStyle w:val="Caption"/>
      </w:pPr>
      <w:bookmarkStart w:id="139" w:name="_Ref210636713"/>
      <w:bookmarkStart w:id="140" w:name="_Toc222131909"/>
      <w:r w:rsidRPr="00E3664B">
        <w:t xml:space="preserve">Table </w:t>
      </w:r>
      <w:r>
        <w:fldChar w:fldCharType="begin"/>
      </w:r>
      <w:r>
        <w:instrText>STYLEREF 1 \s</w:instrText>
      </w:r>
      <w:r>
        <w:fldChar w:fldCharType="separate"/>
      </w:r>
      <w:r>
        <w:rPr>
          <w:noProof/>
        </w:rPr>
        <w:t>6</w:t>
      </w:r>
      <w:r>
        <w:fldChar w:fldCharType="end"/>
      </w:r>
      <w:r>
        <w:t>.</w:t>
      </w:r>
      <w:r>
        <w:fldChar w:fldCharType="begin"/>
      </w:r>
      <w:r>
        <w:instrText>SEQ Table \* ARABIC \s 1</w:instrText>
      </w:r>
      <w:r>
        <w:fldChar w:fldCharType="separate"/>
      </w:r>
      <w:r>
        <w:rPr>
          <w:noProof/>
        </w:rPr>
        <w:t>4</w:t>
      </w:r>
      <w:r>
        <w:fldChar w:fldCharType="end"/>
      </w:r>
      <w:bookmarkEnd w:id="139"/>
      <w:r w:rsidRPr="00E3664B">
        <w:t xml:space="preserve"> </w:t>
      </w:r>
      <w:r w:rsidRPr="00BE428E">
        <w:t>‒</w:t>
      </w:r>
      <w:r w:rsidRPr="00E3664B">
        <w:t xml:space="preserve"> </w:t>
      </w:r>
      <w:r w:rsidR="004D6FB7">
        <w:t>Predicted annual mean NO</w:t>
      </w:r>
      <w:r w:rsidR="004D6FB7" w:rsidRPr="00DF643F">
        <w:rPr>
          <w:vertAlign w:val="subscript"/>
        </w:rPr>
        <w:t>2</w:t>
      </w:r>
      <w:r w:rsidR="004D6FB7">
        <w:t xml:space="preserve"> concentrations at Market Street and St Mary’s Place with and without the bus electrification in 2026</w:t>
      </w:r>
      <w:bookmarkEnd w:id="140"/>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2118"/>
        <w:gridCol w:w="2312"/>
        <w:gridCol w:w="2316"/>
        <w:gridCol w:w="2314"/>
      </w:tblGrid>
      <w:tr w:rsidR="00B14CF5" w:rsidRPr="002A53BD" w14:paraId="589C42E0" w14:textId="77777777" w:rsidTr="00DF643F">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1169" w:type="pct"/>
            <w:shd w:val="clear" w:color="auto" w:fill="006600"/>
          </w:tcPr>
          <w:p w14:paraId="34671A83" w14:textId="3FFA51B8" w:rsidR="00B14CF5" w:rsidRPr="004D6FB7" w:rsidRDefault="00B14CF5" w:rsidP="000D1508">
            <w:pPr>
              <w:spacing w:before="0" w:after="0" w:line="240" w:lineRule="auto"/>
              <w:rPr>
                <w:bCs/>
                <w:color w:val="FFFFFF" w:themeColor="background1"/>
              </w:rPr>
            </w:pPr>
            <w:r w:rsidRPr="004D6FB7">
              <w:rPr>
                <w:bCs/>
                <w:color w:val="FFFFFF" w:themeColor="background1"/>
              </w:rPr>
              <w:t>Metric</w:t>
            </w:r>
          </w:p>
        </w:tc>
        <w:tc>
          <w:tcPr>
            <w:tcW w:w="1276" w:type="pct"/>
            <w:shd w:val="clear" w:color="auto" w:fill="006600"/>
          </w:tcPr>
          <w:p w14:paraId="7270D753" w14:textId="4006DA33" w:rsidR="00B14CF5" w:rsidRPr="004D6FB7" w:rsidRDefault="00B14CF5" w:rsidP="000D150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4D6FB7">
              <w:rPr>
                <w:bCs/>
                <w:color w:val="FFFFFF" w:themeColor="background1"/>
              </w:rPr>
              <w:t>2024</w:t>
            </w:r>
          </w:p>
        </w:tc>
        <w:tc>
          <w:tcPr>
            <w:tcW w:w="1278" w:type="pct"/>
            <w:shd w:val="clear" w:color="auto" w:fill="006600"/>
          </w:tcPr>
          <w:p w14:paraId="6E016CC8" w14:textId="0B65FB93" w:rsidR="00B14CF5" w:rsidRPr="004D6FB7" w:rsidRDefault="00B14CF5" w:rsidP="000D150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4D6FB7">
              <w:rPr>
                <w:bCs/>
                <w:color w:val="FFFFFF" w:themeColor="background1"/>
              </w:rPr>
              <w:t>2025</w:t>
            </w:r>
          </w:p>
        </w:tc>
        <w:tc>
          <w:tcPr>
            <w:tcW w:w="1277" w:type="pct"/>
            <w:shd w:val="clear" w:color="auto" w:fill="006600"/>
          </w:tcPr>
          <w:p w14:paraId="47B72892" w14:textId="4DB62407" w:rsidR="00B14CF5" w:rsidRPr="004D6FB7" w:rsidRDefault="00B14CF5" w:rsidP="000D150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4D6FB7">
              <w:rPr>
                <w:bCs/>
                <w:color w:val="FFFFFF" w:themeColor="background1"/>
              </w:rPr>
              <w:t>2026</w:t>
            </w:r>
          </w:p>
        </w:tc>
      </w:tr>
      <w:tr w:rsidR="00B14CF5" w:rsidRPr="002A53BD" w14:paraId="2B578533" w14:textId="77777777" w:rsidTr="00B14CF5">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4"/>
          </w:tcPr>
          <w:p w14:paraId="3B724F43" w14:textId="4D6F170D" w:rsidR="00B14CF5" w:rsidRPr="00DF643F" w:rsidRDefault="00B14CF5" w:rsidP="000D1508">
            <w:pPr>
              <w:spacing w:before="0" w:after="0" w:line="240" w:lineRule="auto"/>
              <w:rPr>
                <w:rFonts w:cs="Arial"/>
                <w:b/>
                <w:bCs/>
                <w:lang w:val="en-US" w:eastAsia="zh-CN"/>
              </w:rPr>
            </w:pPr>
            <w:r w:rsidRPr="00DF643F">
              <w:rPr>
                <w:rFonts w:cs="Arial"/>
                <w:b/>
                <w:bCs/>
                <w:lang w:val="en-US" w:eastAsia="zh-CN"/>
              </w:rPr>
              <w:t>Market Street without bus electrification</w:t>
            </w:r>
          </w:p>
        </w:tc>
      </w:tr>
      <w:tr w:rsidR="004D6FB7" w:rsidRPr="002A53BD" w14:paraId="5FDDF90B"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579DB06B" w14:textId="01AE4A73" w:rsidR="00B14CF5" w:rsidRPr="00DF643F" w:rsidRDefault="00B14CF5" w:rsidP="00B14CF5">
            <w:pPr>
              <w:spacing w:before="0" w:after="0" w:line="240" w:lineRule="auto"/>
              <w:rPr>
                <w:rFonts w:cs="Arial"/>
                <w:lang w:val="en-US" w:eastAsia="zh-CN"/>
              </w:rPr>
            </w:pPr>
            <w:r w:rsidRPr="00DF643F">
              <w:rPr>
                <w:rFonts w:cs="Arial"/>
                <w:lang w:val="en-US" w:eastAsia="zh-CN"/>
              </w:rPr>
              <w:t>Total NO</w:t>
            </w:r>
            <w:r w:rsidRPr="00DF643F">
              <w:rPr>
                <w:rFonts w:cs="Arial"/>
                <w:vertAlign w:val="subscript"/>
                <w:lang w:val="en-US" w:eastAsia="zh-CN"/>
              </w:rPr>
              <w:t>2</w:t>
            </w:r>
            <w:r w:rsidRPr="00DF643F">
              <w:rPr>
                <w:rFonts w:cs="Arial"/>
                <w:lang w:val="en-US" w:eastAsia="zh-CN"/>
              </w:rPr>
              <w:t xml:space="preserve"> concentration</w:t>
            </w:r>
          </w:p>
        </w:tc>
        <w:tc>
          <w:tcPr>
            <w:tcW w:w="1276" w:type="pct"/>
          </w:tcPr>
          <w:p w14:paraId="5785F03B" w14:textId="6F32427C"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vertAlign w:val="superscript"/>
                <w:lang w:val="en-US" w:eastAsia="zh-CN"/>
              </w:rPr>
            </w:pPr>
            <w:r w:rsidRPr="004D6FB7">
              <w:t>38.5</w:t>
            </w:r>
          </w:p>
        </w:tc>
        <w:tc>
          <w:tcPr>
            <w:tcW w:w="1278" w:type="pct"/>
          </w:tcPr>
          <w:p w14:paraId="485DEED6" w14:textId="48934D66"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vertAlign w:val="superscript"/>
                <w:lang w:val="en-US" w:eastAsia="zh-CN"/>
              </w:rPr>
            </w:pPr>
            <w:r w:rsidRPr="004D6FB7">
              <w:t>36.4</w:t>
            </w:r>
          </w:p>
        </w:tc>
        <w:tc>
          <w:tcPr>
            <w:tcW w:w="1277" w:type="pct"/>
          </w:tcPr>
          <w:p w14:paraId="56A054B1" w14:textId="560D23D6"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4D6FB7">
              <w:t>34.7</w:t>
            </w:r>
          </w:p>
        </w:tc>
      </w:tr>
      <w:tr w:rsidR="00B14CF5" w:rsidRPr="002A53BD" w14:paraId="49D72017"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5AD102FC" w14:textId="1EBD8EAC" w:rsidR="00B14CF5" w:rsidRPr="00DF643F" w:rsidRDefault="00B14CF5" w:rsidP="00B14CF5">
            <w:pPr>
              <w:spacing w:before="0" w:after="0" w:line="240" w:lineRule="auto"/>
              <w:rPr>
                <w:rFonts w:cs="Arial"/>
                <w:lang w:val="en-US" w:eastAsia="zh-CN"/>
              </w:rPr>
            </w:pPr>
            <w:r w:rsidRPr="00DF643F">
              <w:rPr>
                <w:rFonts w:cs="Arial"/>
                <w:lang w:val="en-US" w:eastAsia="zh-CN"/>
              </w:rPr>
              <w:t>NO</w:t>
            </w:r>
            <w:r w:rsidRPr="00DF643F">
              <w:rPr>
                <w:rFonts w:cs="Arial"/>
                <w:vertAlign w:val="subscript"/>
                <w:lang w:val="en-US" w:eastAsia="zh-CN"/>
              </w:rPr>
              <w:t>x</w:t>
            </w:r>
            <w:r w:rsidRPr="00DF643F">
              <w:rPr>
                <w:rFonts w:cs="Arial"/>
                <w:lang w:val="en-US" w:eastAsia="zh-CN"/>
              </w:rPr>
              <w:t xml:space="preserve"> emissions</w:t>
            </w:r>
          </w:p>
        </w:tc>
        <w:tc>
          <w:tcPr>
            <w:tcW w:w="1276" w:type="pct"/>
          </w:tcPr>
          <w:p w14:paraId="1F6C6BEB" w14:textId="5E493746"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4D6FB7">
              <w:t>0.04664</w:t>
            </w:r>
          </w:p>
        </w:tc>
        <w:tc>
          <w:tcPr>
            <w:tcW w:w="1278" w:type="pct"/>
          </w:tcPr>
          <w:p w14:paraId="1D74DF34" w14:textId="2B8B50A5"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4D6FB7">
              <w:t>0.04349</w:t>
            </w:r>
          </w:p>
        </w:tc>
        <w:tc>
          <w:tcPr>
            <w:tcW w:w="1277" w:type="pct"/>
          </w:tcPr>
          <w:p w14:paraId="27A396A6" w14:textId="2BD8B1BE" w:rsidR="00B14CF5" w:rsidRPr="00DF643F" w:rsidRDefault="00B14CF5" w:rsidP="00B14CF5">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lang w:val="en-US" w:eastAsia="zh-CN"/>
              </w:rPr>
            </w:pPr>
            <w:r w:rsidRPr="004D6FB7">
              <w:t>0.04087</w:t>
            </w:r>
          </w:p>
        </w:tc>
      </w:tr>
      <w:tr w:rsidR="004D6FB7" w:rsidRPr="002A53BD" w14:paraId="02D70E4D" w14:textId="77777777" w:rsidTr="004D6FB7">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4"/>
          </w:tcPr>
          <w:p w14:paraId="0F2B1526" w14:textId="5BCAA79A" w:rsidR="004D6FB7" w:rsidRPr="004D6FB7" w:rsidRDefault="004D6FB7" w:rsidP="00B14CF5">
            <w:pPr>
              <w:spacing w:before="0" w:after="0" w:line="240" w:lineRule="auto"/>
            </w:pPr>
            <w:r w:rsidRPr="00DF643F">
              <w:rPr>
                <w:rFonts w:cs="Arial"/>
                <w:b/>
                <w:bCs/>
                <w:lang w:val="en-US" w:eastAsia="zh-CN"/>
              </w:rPr>
              <w:t>Market Street with bus electrification</w:t>
            </w:r>
          </w:p>
        </w:tc>
      </w:tr>
      <w:tr w:rsidR="004D6FB7" w:rsidRPr="002A53BD" w14:paraId="2E5587F2"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352A02C8" w14:textId="0339491E" w:rsidR="004D6FB7" w:rsidRPr="00DF643F" w:rsidRDefault="004D6FB7" w:rsidP="004D6FB7">
            <w:pPr>
              <w:spacing w:before="0" w:after="0" w:line="240" w:lineRule="auto"/>
              <w:rPr>
                <w:rFonts w:cs="Arial"/>
                <w:lang w:val="en-US" w:eastAsia="zh-CN"/>
              </w:rPr>
            </w:pPr>
            <w:r w:rsidRPr="004D6FB7">
              <w:t>Total NO</w:t>
            </w:r>
            <w:r w:rsidRPr="00DF643F">
              <w:rPr>
                <w:vertAlign w:val="subscript"/>
              </w:rPr>
              <w:t>2</w:t>
            </w:r>
            <w:r w:rsidRPr="004D6FB7">
              <w:t xml:space="preserve"> concentration</w:t>
            </w:r>
          </w:p>
        </w:tc>
        <w:tc>
          <w:tcPr>
            <w:tcW w:w="1276" w:type="pct"/>
          </w:tcPr>
          <w:p w14:paraId="27B988C0" w14:textId="171A8BC3"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38.5</w:t>
            </w:r>
          </w:p>
        </w:tc>
        <w:tc>
          <w:tcPr>
            <w:tcW w:w="1278" w:type="pct"/>
          </w:tcPr>
          <w:p w14:paraId="13BFFC47" w14:textId="70706F22"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36.4</w:t>
            </w:r>
          </w:p>
        </w:tc>
        <w:tc>
          <w:tcPr>
            <w:tcW w:w="1277" w:type="pct"/>
          </w:tcPr>
          <w:p w14:paraId="473DF10E" w14:textId="2423B1BC"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31.8</w:t>
            </w:r>
          </w:p>
        </w:tc>
      </w:tr>
      <w:tr w:rsidR="004D6FB7" w:rsidRPr="002A53BD" w14:paraId="56C711E2"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3274D396" w14:textId="578E89DA" w:rsidR="004D6FB7" w:rsidRPr="00DF643F" w:rsidRDefault="004D6FB7" w:rsidP="004D6FB7">
            <w:pPr>
              <w:spacing w:before="0" w:after="0" w:line="240" w:lineRule="auto"/>
              <w:rPr>
                <w:rFonts w:cs="Arial"/>
                <w:lang w:val="en-US" w:eastAsia="zh-CN"/>
              </w:rPr>
            </w:pPr>
            <w:r w:rsidRPr="004D6FB7">
              <w:t>NO</w:t>
            </w:r>
            <w:r w:rsidRPr="00DF643F">
              <w:rPr>
                <w:vertAlign w:val="subscript"/>
              </w:rPr>
              <w:t xml:space="preserve">x </w:t>
            </w:r>
            <w:r w:rsidRPr="004D6FB7">
              <w:t>emissions</w:t>
            </w:r>
          </w:p>
        </w:tc>
        <w:tc>
          <w:tcPr>
            <w:tcW w:w="1276" w:type="pct"/>
          </w:tcPr>
          <w:p w14:paraId="46E5EBAC" w14:textId="75F86F6C"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0.04664</w:t>
            </w:r>
          </w:p>
        </w:tc>
        <w:tc>
          <w:tcPr>
            <w:tcW w:w="1278" w:type="pct"/>
          </w:tcPr>
          <w:p w14:paraId="7D8EF894" w14:textId="56D77267"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0.04349</w:t>
            </w:r>
          </w:p>
        </w:tc>
        <w:tc>
          <w:tcPr>
            <w:tcW w:w="1277" w:type="pct"/>
          </w:tcPr>
          <w:p w14:paraId="70E33076" w14:textId="14CB08EE"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0.03484</w:t>
            </w:r>
          </w:p>
        </w:tc>
      </w:tr>
      <w:tr w:rsidR="004D6FB7" w:rsidRPr="002A53BD" w14:paraId="51C8E989" w14:textId="77777777" w:rsidTr="004D6FB7">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4"/>
          </w:tcPr>
          <w:p w14:paraId="1AFC07EE" w14:textId="2049C5C4" w:rsidR="004D6FB7" w:rsidRPr="00DF643F" w:rsidRDefault="004D6FB7" w:rsidP="00B14CF5">
            <w:pPr>
              <w:spacing w:before="0" w:after="0" w:line="240" w:lineRule="auto"/>
              <w:rPr>
                <w:b/>
                <w:bCs/>
              </w:rPr>
            </w:pPr>
            <w:r w:rsidRPr="00DF643F">
              <w:rPr>
                <w:rFonts w:cs="Arial"/>
                <w:b/>
                <w:bCs/>
                <w:lang w:val="en-US" w:eastAsia="zh-CN"/>
              </w:rPr>
              <w:t xml:space="preserve">St Mary’s Place without bus electrification </w:t>
            </w:r>
          </w:p>
        </w:tc>
      </w:tr>
      <w:tr w:rsidR="004D6FB7" w:rsidRPr="002A53BD" w14:paraId="7480A9A7"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06A11D39" w14:textId="1778983B" w:rsidR="004D6FB7" w:rsidRPr="00DF643F" w:rsidRDefault="004D6FB7" w:rsidP="004D6FB7">
            <w:pPr>
              <w:spacing w:before="0" w:after="0" w:line="240" w:lineRule="auto"/>
              <w:rPr>
                <w:rFonts w:cs="Arial"/>
                <w:lang w:val="en-US" w:eastAsia="zh-CN"/>
              </w:rPr>
            </w:pPr>
            <w:r w:rsidRPr="00DF643F">
              <w:t>Total NO</w:t>
            </w:r>
            <w:r w:rsidRPr="00DF643F">
              <w:rPr>
                <w:vertAlign w:val="subscript"/>
              </w:rPr>
              <w:t>2</w:t>
            </w:r>
            <w:r w:rsidRPr="00DF643F">
              <w:t xml:space="preserve"> concentration</w:t>
            </w:r>
          </w:p>
        </w:tc>
        <w:tc>
          <w:tcPr>
            <w:tcW w:w="1276" w:type="pct"/>
          </w:tcPr>
          <w:p w14:paraId="6DEAD3D8" w14:textId="77E1B9C2"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36.3</w:t>
            </w:r>
          </w:p>
        </w:tc>
        <w:tc>
          <w:tcPr>
            <w:tcW w:w="1278" w:type="pct"/>
          </w:tcPr>
          <w:p w14:paraId="64CDF1E3" w14:textId="29A04369"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34.4</w:t>
            </w:r>
          </w:p>
        </w:tc>
        <w:tc>
          <w:tcPr>
            <w:tcW w:w="1277" w:type="pct"/>
          </w:tcPr>
          <w:p w14:paraId="4BC58B5F" w14:textId="0446D768"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32.8</w:t>
            </w:r>
          </w:p>
        </w:tc>
      </w:tr>
      <w:tr w:rsidR="004D6FB7" w:rsidRPr="002A53BD" w14:paraId="21F27637"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63A2F1A2" w14:textId="6770470F" w:rsidR="004D6FB7" w:rsidRPr="00DF643F" w:rsidRDefault="004D6FB7" w:rsidP="004D6FB7">
            <w:pPr>
              <w:spacing w:before="0" w:after="0" w:line="240" w:lineRule="auto"/>
              <w:rPr>
                <w:rFonts w:cs="Arial"/>
                <w:lang w:val="en-US" w:eastAsia="zh-CN"/>
              </w:rPr>
            </w:pPr>
            <w:r w:rsidRPr="00DF643F">
              <w:t>NO</w:t>
            </w:r>
            <w:r w:rsidRPr="00DF643F">
              <w:rPr>
                <w:vertAlign w:val="subscript"/>
              </w:rPr>
              <w:t xml:space="preserve">x </w:t>
            </w:r>
            <w:r w:rsidRPr="00DF643F">
              <w:t>emissions</w:t>
            </w:r>
          </w:p>
        </w:tc>
        <w:tc>
          <w:tcPr>
            <w:tcW w:w="1276" w:type="pct"/>
          </w:tcPr>
          <w:p w14:paraId="7D1CD087" w14:textId="56DE6F30"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0.06121</w:t>
            </w:r>
          </w:p>
        </w:tc>
        <w:tc>
          <w:tcPr>
            <w:tcW w:w="1278" w:type="pct"/>
          </w:tcPr>
          <w:p w14:paraId="5578D4D6" w14:textId="1C9CF430"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0.05708</w:t>
            </w:r>
          </w:p>
        </w:tc>
        <w:tc>
          <w:tcPr>
            <w:tcW w:w="1277" w:type="pct"/>
          </w:tcPr>
          <w:p w14:paraId="1789F115" w14:textId="29CBE134" w:rsidR="004D6FB7" w:rsidRPr="004D6FB7" w:rsidRDefault="004D6FB7" w:rsidP="004D6FB7">
            <w:pPr>
              <w:spacing w:before="0" w:after="0" w:line="240" w:lineRule="auto"/>
              <w:cnfStyle w:val="000000000000" w:firstRow="0" w:lastRow="0" w:firstColumn="0" w:lastColumn="0" w:oddVBand="0" w:evenVBand="0" w:oddHBand="0" w:evenHBand="0" w:firstRowFirstColumn="0" w:firstRowLastColumn="0" w:lastRowFirstColumn="0" w:lastRowLastColumn="0"/>
            </w:pPr>
            <w:r w:rsidRPr="004D6FB7">
              <w:t>0.05351</w:t>
            </w:r>
          </w:p>
        </w:tc>
      </w:tr>
      <w:tr w:rsidR="004D6FB7" w:rsidRPr="002A53BD" w14:paraId="239496DE" w14:textId="77777777" w:rsidTr="004D6FB7">
        <w:trPr>
          <w:trHeight w:val="880"/>
        </w:trPr>
        <w:tc>
          <w:tcPr>
            <w:cnfStyle w:val="001000000000" w:firstRow="0" w:lastRow="0" w:firstColumn="1" w:lastColumn="0" w:oddVBand="0" w:evenVBand="0" w:oddHBand="0" w:evenHBand="0" w:firstRowFirstColumn="0" w:firstRowLastColumn="0" w:lastRowFirstColumn="0" w:lastRowLastColumn="0"/>
            <w:tcW w:w="5000" w:type="pct"/>
            <w:gridSpan w:val="4"/>
          </w:tcPr>
          <w:p w14:paraId="75C1B6F4" w14:textId="20862193" w:rsidR="004D6FB7" w:rsidRPr="00322F61" w:rsidRDefault="004D6FB7" w:rsidP="00B14CF5">
            <w:pPr>
              <w:spacing w:before="0" w:after="0" w:line="240" w:lineRule="auto"/>
            </w:pPr>
            <w:r w:rsidRPr="000D1508">
              <w:rPr>
                <w:rFonts w:cs="Arial"/>
                <w:b/>
                <w:bCs/>
                <w:lang w:val="en-US" w:eastAsia="zh-CN"/>
              </w:rPr>
              <w:t>St Mary’s Place with bus electrification</w:t>
            </w:r>
          </w:p>
        </w:tc>
      </w:tr>
      <w:tr w:rsidR="004D6FB7" w:rsidRPr="002A53BD" w14:paraId="6225CA3C"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0E02039B" w14:textId="44B22EED" w:rsidR="004D6FB7" w:rsidRDefault="004D6FB7" w:rsidP="004D6FB7">
            <w:pPr>
              <w:spacing w:before="0" w:after="0" w:line="240" w:lineRule="auto"/>
              <w:rPr>
                <w:rFonts w:cs="Arial"/>
                <w:sz w:val="22"/>
                <w:szCs w:val="22"/>
                <w:lang w:val="en-US" w:eastAsia="zh-CN"/>
              </w:rPr>
            </w:pPr>
            <w:r w:rsidRPr="000D1508">
              <w:t>Total NO</w:t>
            </w:r>
            <w:r w:rsidRPr="000D1508">
              <w:rPr>
                <w:vertAlign w:val="subscript"/>
              </w:rPr>
              <w:t>2</w:t>
            </w:r>
            <w:r w:rsidRPr="000D1508">
              <w:t xml:space="preserve"> concentration</w:t>
            </w:r>
          </w:p>
        </w:tc>
        <w:tc>
          <w:tcPr>
            <w:tcW w:w="1276" w:type="pct"/>
          </w:tcPr>
          <w:p w14:paraId="7E50FE7D" w14:textId="79351989" w:rsidR="004D6FB7" w:rsidRPr="00322F61" w:rsidRDefault="004D6FB7"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980CA7">
              <w:t>36.3</w:t>
            </w:r>
          </w:p>
        </w:tc>
        <w:tc>
          <w:tcPr>
            <w:tcW w:w="1278" w:type="pct"/>
          </w:tcPr>
          <w:p w14:paraId="043FEF8F" w14:textId="05219050" w:rsidR="004D6FB7" w:rsidRPr="00322F61" w:rsidRDefault="004D6FB7"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980CA7">
              <w:t>34.4</w:t>
            </w:r>
          </w:p>
        </w:tc>
        <w:tc>
          <w:tcPr>
            <w:tcW w:w="1277" w:type="pct"/>
          </w:tcPr>
          <w:p w14:paraId="23D5F507" w14:textId="73AA0422" w:rsidR="004D6FB7" w:rsidRPr="00322F61" w:rsidRDefault="004D6FB7"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980CA7">
              <w:t>30.4</w:t>
            </w:r>
          </w:p>
        </w:tc>
      </w:tr>
      <w:tr w:rsidR="009F62AD" w:rsidRPr="002A53BD" w14:paraId="68A0DACD"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1169" w:type="pct"/>
          </w:tcPr>
          <w:p w14:paraId="2C5A8A9C" w14:textId="44FD7499" w:rsidR="009F62AD" w:rsidRDefault="009F62AD" w:rsidP="009F62AD">
            <w:pPr>
              <w:spacing w:before="0" w:after="0" w:line="240" w:lineRule="auto"/>
              <w:rPr>
                <w:rFonts w:cs="Arial"/>
                <w:sz w:val="22"/>
                <w:szCs w:val="22"/>
                <w:lang w:val="en-US" w:eastAsia="zh-CN"/>
              </w:rPr>
            </w:pPr>
            <w:r w:rsidRPr="000D1508">
              <w:t>NO</w:t>
            </w:r>
            <w:r w:rsidRPr="000D1508">
              <w:rPr>
                <w:vertAlign w:val="subscript"/>
              </w:rPr>
              <w:t xml:space="preserve">x </w:t>
            </w:r>
            <w:r w:rsidRPr="000D1508">
              <w:t>emissions</w:t>
            </w:r>
          </w:p>
        </w:tc>
        <w:tc>
          <w:tcPr>
            <w:tcW w:w="1276" w:type="pct"/>
          </w:tcPr>
          <w:p w14:paraId="2884480F" w14:textId="58514C39" w:rsidR="009F62AD" w:rsidRPr="00322F61" w:rsidRDefault="009F62AD"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491D9B">
              <w:t>0.0612</w:t>
            </w:r>
            <w:r>
              <w:t>1</w:t>
            </w:r>
          </w:p>
        </w:tc>
        <w:tc>
          <w:tcPr>
            <w:tcW w:w="1278" w:type="pct"/>
          </w:tcPr>
          <w:p w14:paraId="75CD2291" w14:textId="771D7708" w:rsidR="009F62AD" w:rsidRPr="00322F61" w:rsidRDefault="009F62AD"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491D9B">
              <w:t>0.0570</w:t>
            </w:r>
            <w:r>
              <w:t>8</w:t>
            </w:r>
          </w:p>
        </w:tc>
        <w:tc>
          <w:tcPr>
            <w:tcW w:w="1277" w:type="pct"/>
          </w:tcPr>
          <w:p w14:paraId="59B3FA94" w14:textId="788F7472" w:rsidR="009F62AD" w:rsidRPr="00322F61" w:rsidRDefault="009F62AD" w:rsidP="009F62AD">
            <w:pPr>
              <w:spacing w:before="0" w:after="0" w:line="240" w:lineRule="auto"/>
              <w:cnfStyle w:val="000000000000" w:firstRow="0" w:lastRow="0" w:firstColumn="0" w:lastColumn="0" w:oddVBand="0" w:evenVBand="0" w:oddHBand="0" w:evenHBand="0" w:firstRowFirstColumn="0" w:firstRowLastColumn="0" w:lastRowFirstColumn="0" w:lastRowLastColumn="0"/>
            </w:pPr>
            <w:r w:rsidRPr="00491D9B">
              <w:t>0.0465</w:t>
            </w:r>
            <w:r>
              <w:t>3</w:t>
            </w:r>
          </w:p>
        </w:tc>
      </w:tr>
    </w:tbl>
    <w:p w14:paraId="1602AC32" w14:textId="21920BE1" w:rsidR="002A08F0" w:rsidRPr="00840A16" w:rsidRDefault="002A08F0" w:rsidP="00840A16"/>
    <w:p w14:paraId="209C3813" w14:textId="13C9DAA8" w:rsidR="00627A74" w:rsidRDefault="00627A74" w:rsidP="00F630B6">
      <w:pPr>
        <w:pStyle w:val="Heading2"/>
      </w:pPr>
      <w:bookmarkStart w:id="141" w:name="_Toc222131884"/>
      <w:r>
        <w:lastRenderedPageBreak/>
        <w:t xml:space="preserve">Measure 3 – </w:t>
      </w:r>
      <w:r w:rsidR="007F2DF4" w:rsidRPr="007F2DF4">
        <w:t>Exposure Limitation at Stephenson Road</w:t>
      </w:r>
      <w:bookmarkEnd w:id="141"/>
      <w:r w:rsidR="007F2DF4" w:rsidRPr="007F2DF4" w:rsidDel="007F2DF4">
        <w:t xml:space="preserve"> </w:t>
      </w:r>
    </w:p>
    <w:p w14:paraId="66EF2218" w14:textId="77777777" w:rsidR="00C34F58" w:rsidRDefault="006119E4" w:rsidP="006119E4">
      <w:pPr>
        <w:rPr>
          <w:lang w:val="en-US"/>
        </w:rPr>
      </w:pPr>
      <w:r>
        <w:t xml:space="preserve">DT81 at Stephenson Road measured an annual mean </w:t>
      </w:r>
      <w:r w:rsidRPr="006119E4">
        <w:rPr>
          <w:rFonts w:eastAsia="Arial" w:cs="Arial"/>
          <w:kern w:val="18"/>
          <w:lang w:val="en-IE"/>
        </w:rPr>
        <w:t>NO</w:t>
      </w:r>
      <w:r w:rsidRPr="006119E4">
        <w:rPr>
          <w:rFonts w:eastAsia="Arial" w:cs="Arial"/>
          <w:kern w:val="18"/>
          <w:vertAlign w:val="subscript"/>
          <w:lang w:val="en-IE"/>
        </w:rPr>
        <w:t>2</w:t>
      </w:r>
      <w:r w:rsidRPr="006119E4">
        <w:t xml:space="preserve"> concentration</w:t>
      </w:r>
      <w:r>
        <w:t xml:space="preserve"> of </w:t>
      </w:r>
      <w:r w:rsidRPr="006119E4">
        <w:rPr>
          <w:lang w:val="en-US"/>
        </w:rPr>
        <w:t>64.5</w:t>
      </w:r>
      <w:r>
        <w:rPr>
          <w:lang w:val="en-US"/>
        </w:rPr>
        <w:t xml:space="preserve"> </w:t>
      </w:r>
      <w:r w:rsidRPr="006119E4">
        <w:rPr>
          <w:rFonts w:eastAsia="Arial" w:cs="Arial"/>
          <w:kern w:val="18"/>
          <w:lang w:val="en-IE"/>
        </w:rPr>
        <w:t>µg/m</w:t>
      </w:r>
      <w:r w:rsidRPr="006119E4">
        <w:rPr>
          <w:rFonts w:eastAsia="Arial" w:cs="Arial"/>
          <w:kern w:val="18"/>
          <w:vertAlign w:val="superscript"/>
          <w:lang w:val="en-IE"/>
        </w:rPr>
        <w:t>3</w:t>
      </w:r>
      <w:r>
        <w:rPr>
          <w:rFonts w:eastAsia="Arial" w:cs="Arial"/>
          <w:kern w:val="18"/>
          <w:vertAlign w:val="superscript"/>
          <w:lang w:val="en-IE"/>
        </w:rPr>
        <w:t xml:space="preserve"> </w:t>
      </w:r>
      <w:r>
        <w:rPr>
          <w:rFonts w:eastAsia="Arial" w:cs="Arial"/>
          <w:kern w:val="18"/>
          <w:lang w:val="en-IE"/>
        </w:rPr>
        <w:t>in 2024</w:t>
      </w:r>
      <w:r>
        <w:rPr>
          <w:lang w:val="en-US"/>
        </w:rPr>
        <w:t xml:space="preserve">, potentially exceeding the 1-hour </w:t>
      </w:r>
      <w:r w:rsidRPr="006119E4">
        <w:rPr>
          <w:lang w:val="en-US"/>
        </w:rPr>
        <w:t xml:space="preserve">mean </w:t>
      </w:r>
      <w:r w:rsidRPr="006119E4">
        <w:rPr>
          <w:rFonts w:eastAsia="Arial" w:cs="Arial"/>
          <w:kern w:val="18"/>
          <w:lang w:val="en-IE"/>
        </w:rPr>
        <w:t>NO</w:t>
      </w:r>
      <w:r w:rsidRPr="006119E4">
        <w:rPr>
          <w:rFonts w:eastAsia="Arial" w:cs="Arial"/>
          <w:kern w:val="18"/>
          <w:vertAlign w:val="subscript"/>
          <w:lang w:val="en-IE"/>
        </w:rPr>
        <w:t>2</w:t>
      </w:r>
      <w:r w:rsidRPr="006119E4">
        <w:rPr>
          <w:lang w:val="en-US"/>
        </w:rPr>
        <w:t xml:space="preserve"> objective.</w:t>
      </w:r>
      <w:r>
        <w:rPr>
          <w:lang w:val="en-US"/>
        </w:rPr>
        <w:t xml:space="preserve"> </w:t>
      </w:r>
    </w:p>
    <w:p w14:paraId="036249AE" w14:textId="3D7FF30C" w:rsidR="002B54D5" w:rsidRDefault="002B54D5" w:rsidP="002B54D5">
      <w:pPr>
        <w:rPr>
          <w:lang w:val="en-US"/>
        </w:rPr>
      </w:pPr>
      <w:r>
        <w:rPr>
          <w:lang w:val="en-US"/>
        </w:rPr>
        <w:t xml:space="preserve">However, DT81 </w:t>
      </w:r>
      <w:r w:rsidR="00184C77">
        <w:rPr>
          <w:lang w:val="en-US"/>
        </w:rPr>
        <w:t>was calculated to be compliant</w:t>
      </w:r>
      <w:r>
        <w:rPr>
          <w:lang w:val="en-US"/>
        </w:rPr>
        <w:t xml:space="preserve"> with the annual mean NO</w:t>
      </w:r>
      <w:r w:rsidRPr="00DF643F">
        <w:rPr>
          <w:vertAlign w:val="subscript"/>
          <w:lang w:val="en-US"/>
        </w:rPr>
        <w:t>2</w:t>
      </w:r>
      <w:r>
        <w:rPr>
          <w:lang w:val="en-US"/>
        </w:rPr>
        <w:t xml:space="preserve"> objective at relevant exposure with </w:t>
      </w:r>
      <w:r w:rsidRPr="002B54D5">
        <w:rPr>
          <w:lang w:val="en-IE"/>
        </w:rPr>
        <w:t>35.8 µg/m</w:t>
      </w:r>
      <w:r w:rsidRPr="002B54D5">
        <w:rPr>
          <w:vertAlign w:val="superscript"/>
          <w:lang w:val="en-IE"/>
        </w:rPr>
        <w:t>3</w:t>
      </w:r>
      <w:r>
        <w:rPr>
          <w:lang w:val="en-IE"/>
        </w:rPr>
        <w:t xml:space="preserve"> (</w:t>
      </w:r>
      <w:r w:rsidRPr="006119E4">
        <w:rPr>
          <w:lang w:val="en-US"/>
        </w:rPr>
        <w:fldChar w:fldCharType="begin"/>
      </w:r>
      <w:r w:rsidRPr="006119E4">
        <w:rPr>
          <w:lang w:val="en-US"/>
        </w:rPr>
        <w:instrText xml:space="preserve"> REF _Ref204936535 \h  \* MERGEFORMAT </w:instrText>
      </w:r>
      <w:r w:rsidRPr="006119E4">
        <w:rPr>
          <w:lang w:val="en-US"/>
        </w:rPr>
      </w:r>
      <w:r w:rsidRPr="006119E4">
        <w:rPr>
          <w:lang w:val="en-US"/>
        </w:rPr>
        <w:fldChar w:fldCharType="separate"/>
      </w:r>
      <w:r w:rsidR="00CB36FD" w:rsidRPr="00DF643F">
        <w:t xml:space="preserve">Table </w:t>
      </w:r>
      <w:r w:rsidR="00CB36FD" w:rsidRPr="00DF643F">
        <w:rPr>
          <w:noProof/>
        </w:rPr>
        <w:t>6.5</w:t>
      </w:r>
      <w:r w:rsidRPr="006119E4">
        <w:rPr>
          <w:lang w:val="en-US"/>
        </w:rPr>
        <w:fldChar w:fldCharType="end"/>
      </w:r>
      <w:r>
        <w:rPr>
          <w:lang w:val="en-US"/>
        </w:rPr>
        <w:t>).</w:t>
      </w:r>
    </w:p>
    <w:p w14:paraId="0039629E" w14:textId="77777777" w:rsidR="00184C77" w:rsidRPr="006119E4" w:rsidRDefault="00184C77" w:rsidP="00184C77">
      <w:pPr>
        <w:keepNext/>
        <w:rPr>
          <w:b/>
          <w:bCs/>
          <w:color w:val="006726"/>
        </w:rPr>
      </w:pPr>
      <w:bookmarkStart w:id="142" w:name="_Toc222131910"/>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Pr>
          <w:b/>
          <w:bCs/>
          <w:noProof/>
          <w:color w:val="006726"/>
        </w:rPr>
        <w:t>6</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Pr>
          <w:b/>
          <w:bCs/>
          <w:noProof/>
          <w:color w:val="006726"/>
        </w:rPr>
        <w:t>5</w:t>
      </w:r>
      <w:r w:rsidRPr="00A85C14">
        <w:rPr>
          <w:b/>
          <w:bCs/>
          <w:color w:val="006726"/>
        </w:rPr>
        <w:fldChar w:fldCharType="end"/>
      </w:r>
      <w:r w:rsidRPr="00A85C14">
        <w:rPr>
          <w:b/>
          <w:bCs/>
          <w:color w:val="006726"/>
        </w:rPr>
        <w:t xml:space="preserve"> – </w:t>
      </w:r>
      <w:r w:rsidRPr="006119E4">
        <w:rPr>
          <w:b/>
          <w:bCs/>
          <w:color w:val="006726"/>
        </w:rPr>
        <w:t xml:space="preserve">Non-automatic </w:t>
      </w:r>
      <w:r w:rsidRPr="006119E4">
        <w:rPr>
          <w:rFonts w:eastAsia="Arial" w:cs="Arial"/>
          <w:b/>
          <w:bCs/>
          <w:color w:val="006726"/>
          <w:kern w:val="18"/>
          <w:lang w:val="en-IE"/>
        </w:rPr>
        <w:t>NO</w:t>
      </w:r>
      <w:r w:rsidRPr="006119E4">
        <w:rPr>
          <w:rFonts w:eastAsia="Arial" w:cs="Arial"/>
          <w:b/>
          <w:bCs/>
          <w:color w:val="006726"/>
          <w:kern w:val="18"/>
          <w:vertAlign w:val="subscript"/>
          <w:lang w:val="en-IE"/>
        </w:rPr>
        <w:t>2</w:t>
      </w:r>
      <w:r w:rsidRPr="006119E4">
        <w:rPr>
          <w:b/>
          <w:bCs/>
          <w:color w:val="006726"/>
        </w:rPr>
        <w:t xml:space="preserve"> Fall off With Distance Calculations (concentrations presented in </w:t>
      </w:r>
      <w:r w:rsidRPr="006119E4">
        <w:rPr>
          <w:rFonts w:eastAsia="Arial" w:cs="Arial"/>
          <w:b/>
          <w:bCs/>
          <w:color w:val="006726"/>
          <w:kern w:val="18"/>
          <w:lang w:val="en-IE"/>
        </w:rPr>
        <w:t>µg/m</w:t>
      </w:r>
      <w:r w:rsidRPr="006119E4">
        <w:rPr>
          <w:rFonts w:eastAsia="Arial" w:cs="Arial"/>
          <w:b/>
          <w:bCs/>
          <w:color w:val="006726"/>
          <w:kern w:val="18"/>
          <w:vertAlign w:val="superscript"/>
          <w:lang w:val="en-IE"/>
        </w:rPr>
        <w:t>3</w:t>
      </w:r>
      <w:r w:rsidRPr="006119E4">
        <w:rPr>
          <w:b/>
          <w:bCs/>
          <w:color w:val="006726"/>
        </w:rPr>
        <w:t>)</w:t>
      </w:r>
      <w:bookmarkEnd w:id="14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
        <w:gridCol w:w="1234"/>
        <w:gridCol w:w="1050"/>
        <w:gridCol w:w="1594"/>
        <w:gridCol w:w="1657"/>
        <w:gridCol w:w="1594"/>
        <w:gridCol w:w="1297"/>
      </w:tblGrid>
      <w:tr w:rsidR="00184C77" w:rsidRPr="006119E4" w14:paraId="08068FD4" w14:textId="77777777" w:rsidTr="00745339">
        <w:trPr>
          <w:trHeight w:val="300"/>
        </w:trPr>
        <w:tc>
          <w:tcPr>
            <w:tcW w:w="347"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34890A76"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Site ID </w:t>
            </w:r>
          </w:p>
        </w:tc>
        <w:tc>
          <w:tcPr>
            <w:tcW w:w="682"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08631A27"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Distance (m): Monitoring Site to Kerb </w:t>
            </w:r>
          </w:p>
        </w:tc>
        <w:tc>
          <w:tcPr>
            <w:tcW w:w="580"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5CEEFE64"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Distance (m): Receptor to Kerb </w:t>
            </w:r>
          </w:p>
        </w:tc>
        <w:tc>
          <w:tcPr>
            <w:tcW w:w="880"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57A23352"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Monitored Concentration (Annualised and Bias Adjusted </w:t>
            </w:r>
          </w:p>
        </w:tc>
        <w:tc>
          <w:tcPr>
            <w:tcW w:w="915"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0497A756"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Background Concentration </w:t>
            </w:r>
          </w:p>
        </w:tc>
        <w:tc>
          <w:tcPr>
            <w:tcW w:w="880"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48FB39DA"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Concentration Predicted at Receptor </w:t>
            </w:r>
          </w:p>
        </w:tc>
        <w:tc>
          <w:tcPr>
            <w:tcW w:w="716" w:type="pct"/>
            <w:tcBorders>
              <w:top w:val="single" w:sz="6" w:space="0" w:color="auto"/>
              <w:left w:val="single" w:sz="6" w:space="0" w:color="auto"/>
              <w:bottom w:val="single" w:sz="6" w:space="0" w:color="auto"/>
              <w:right w:val="single" w:sz="6" w:space="0" w:color="auto"/>
            </w:tcBorders>
            <w:shd w:val="clear" w:color="auto" w:fill="006726"/>
            <w:vAlign w:val="center"/>
            <w:hideMark/>
          </w:tcPr>
          <w:p w14:paraId="68E72F18" w14:textId="77777777" w:rsidR="00184C77" w:rsidRPr="006119E4" w:rsidRDefault="00184C77" w:rsidP="00745339">
            <w:pPr>
              <w:spacing w:before="0" w:after="0" w:line="240" w:lineRule="auto"/>
              <w:ind w:left="75"/>
              <w:jc w:val="center"/>
              <w:textAlignment w:val="baseline"/>
              <w:rPr>
                <w:rFonts w:ascii="Segoe UI" w:hAnsi="Segoe UI" w:cs="Segoe UI"/>
                <w:b/>
                <w:bCs/>
                <w:color w:val="FFFFFF"/>
                <w:sz w:val="22"/>
                <w:szCs w:val="22"/>
                <w:lang w:eastAsia="en-GB"/>
              </w:rPr>
            </w:pPr>
            <w:r w:rsidRPr="006119E4">
              <w:rPr>
                <w:rFonts w:cs="Arial"/>
                <w:b/>
                <w:bCs/>
                <w:color w:val="FFFFFF"/>
                <w:sz w:val="22"/>
                <w:szCs w:val="22"/>
                <w:lang w:eastAsia="en-GB"/>
              </w:rPr>
              <w:t>Comments </w:t>
            </w:r>
          </w:p>
        </w:tc>
      </w:tr>
      <w:tr w:rsidR="00184C77" w:rsidRPr="006119E4" w14:paraId="550FEB8C" w14:textId="77777777" w:rsidTr="00745339">
        <w:trPr>
          <w:trHeight w:val="300"/>
        </w:trPr>
        <w:tc>
          <w:tcPr>
            <w:tcW w:w="347" w:type="pct"/>
            <w:tcBorders>
              <w:top w:val="single" w:sz="6" w:space="0" w:color="auto"/>
              <w:left w:val="single" w:sz="6" w:space="0" w:color="auto"/>
              <w:bottom w:val="single" w:sz="6" w:space="0" w:color="auto"/>
              <w:right w:val="single" w:sz="6" w:space="0" w:color="auto"/>
            </w:tcBorders>
            <w:vAlign w:val="center"/>
            <w:hideMark/>
          </w:tcPr>
          <w:p w14:paraId="7EC85EE6"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sidRPr="00840A16">
              <w:rPr>
                <w:rFonts w:cs="Arial"/>
                <w:sz w:val="22"/>
                <w:szCs w:val="22"/>
                <w:lang w:eastAsia="en-GB"/>
              </w:rPr>
              <w:t>DT81</w:t>
            </w:r>
          </w:p>
        </w:tc>
        <w:tc>
          <w:tcPr>
            <w:tcW w:w="682" w:type="pct"/>
            <w:tcBorders>
              <w:top w:val="single" w:sz="6" w:space="0" w:color="auto"/>
              <w:left w:val="single" w:sz="6" w:space="0" w:color="auto"/>
              <w:bottom w:val="single" w:sz="6" w:space="0" w:color="auto"/>
              <w:right w:val="single" w:sz="6" w:space="0" w:color="auto"/>
            </w:tcBorders>
            <w:vAlign w:val="center"/>
            <w:hideMark/>
          </w:tcPr>
          <w:p w14:paraId="67EDA82C"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sidRPr="00840A16">
              <w:rPr>
                <w:rFonts w:cs="Arial"/>
                <w:sz w:val="22"/>
                <w:szCs w:val="22"/>
                <w:lang w:eastAsia="en-GB"/>
              </w:rPr>
              <w:t>1.0</w:t>
            </w:r>
          </w:p>
        </w:tc>
        <w:tc>
          <w:tcPr>
            <w:tcW w:w="580" w:type="pct"/>
            <w:tcBorders>
              <w:top w:val="single" w:sz="6" w:space="0" w:color="auto"/>
              <w:left w:val="single" w:sz="6" w:space="0" w:color="auto"/>
              <w:bottom w:val="single" w:sz="6" w:space="0" w:color="auto"/>
              <w:right w:val="single" w:sz="6" w:space="0" w:color="auto"/>
            </w:tcBorders>
            <w:vAlign w:val="center"/>
            <w:hideMark/>
          </w:tcPr>
          <w:p w14:paraId="23597B53"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Pr>
                <w:rFonts w:cs="Arial"/>
                <w:sz w:val="22"/>
                <w:szCs w:val="22"/>
                <w:lang w:eastAsia="en-GB"/>
              </w:rPr>
              <w:t>16.0</w:t>
            </w:r>
          </w:p>
        </w:tc>
        <w:tc>
          <w:tcPr>
            <w:tcW w:w="880" w:type="pct"/>
            <w:tcBorders>
              <w:top w:val="single" w:sz="6" w:space="0" w:color="auto"/>
              <w:left w:val="single" w:sz="6" w:space="0" w:color="auto"/>
              <w:bottom w:val="single" w:sz="6" w:space="0" w:color="auto"/>
              <w:right w:val="single" w:sz="6" w:space="0" w:color="auto"/>
            </w:tcBorders>
            <w:vAlign w:val="center"/>
            <w:hideMark/>
          </w:tcPr>
          <w:p w14:paraId="3ADCE2BD"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sidRPr="00840A16">
              <w:rPr>
                <w:rFonts w:cs="Arial"/>
                <w:sz w:val="22"/>
                <w:szCs w:val="22"/>
                <w:lang w:eastAsia="en-GB"/>
              </w:rPr>
              <w:t>64.5</w:t>
            </w:r>
          </w:p>
        </w:tc>
        <w:tc>
          <w:tcPr>
            <w:tcW w:w="915" w:type="pct"/>
            <w:tcBorders>
              <w:top w:val="single" w:sz="6" w:space="0" w:color="auto"/>
              <w:left w:val="single" w:sz="6" w:space="0" w:color="auto"/>
              <w:bottom w:val="single" w:sz="6" w:space="0" w:color="auto"/>
              <w:right w:val="single" w:sz="6" w:space="0" w:color="auto"/>
            </w:tcBorders>
            <w:vAlign w:val="center"/>
            <w:hideMark/>
          </w:tcPr>
          <w:p w14:paraId="46F3405B"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sidRPr="00840A16">
              <w:rPr>
                <w:rFonts w:cs="Arial"/>
                <w:sz w:val="22"/>
                <w:szCs w:val="22"/>
                <w:lang w:eastAsia="en-GB"/>
              </w:rPr>
              <w:t>13.1</w:t>
            </w:r>
          </w:p>
        </w:tc>
        <w:tc>
          <w:tcPr>
            <w:tcW w:w="880" w:type="pct"/>
            <w:tcBorders>
              <w:top w:val="single" w:sz="6" w:space="0" w:color="auto"/>
              <w:left w:val="single" w:sz="6" w:space="0" w:color="auto"/>
              <w:bottom w:val="single" w:sz="6" w:space="0" w:color="auto"/>
              <w:right w:val="single" w:sz="6" w:space="0" w:color="auto"/>
            </w:tcBorders>
            <w:vAlign w:val="center"/>
            <w:hideMark/>
          </w:tcPr>
          <w:p w14:paraId="7CF8B8C6"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r>
              <w:rPr>
                <w:rFonts w:cs="Arial"/>
                <w:sz w:val="22"/>
                <w:szCs w:val="22"/>
                <w:lang w:eastAsia="en-GB"/>
              </w:rPr>
              <w:t>35.8</w:t>
            </w:r>
          </w:p>
        </w:tc>
        <w:tc>
          <w:tcPr>
            <w:tcW w:w="716" w:type="pct"/>
            <w:tcBorders>
              <w:top w:val="single" w:sz="6" w:space="0" w:color="auto"/>
              <w:left w:val="single" w:sz="6" w:space="0" w:color="auto"/>
              <w:bottom w:val="single" w:sz="6" w:space="0" w:color="auto"/>
              <w:right w:val="single" w:sz="6" w:space="0" w:color="auto"/>
            </w:tcBorders>
            <w:vAlign w:val="center"/>
            <w:hideMark/>
          </w:tcPr>
          <w:p w14:paraId="6CD57C56" w14:textId="77777777" w:rsidR="00184C77" w:rsidRPr="006119E4" w:rsidRDefault="00184C77" w:rsidP="00745339">
            <w:pPr>
              <w:spacing w:before="0" w:after="0" w:line="240" w:lineRule="auto"/>
              <w:ind w:left="75"/>
              <w:jc w:val="center"/>
              <w:textAlignment w:val="baseline"/>
              <w:rPr>
                <w:rFonts w:ascii="Segoe UI" w:hAnsi="Segoe UI" w:cs="Segoe UI"/>
                <w:sz w:val="22"/>
                <w:szCs w:val="22"/>
                <w:lang w:eastAsia="en-GB"/>
              </w:rPr>
            </w:pPr>
          </w:p>
        </w:tc>
      </w:tr>
    </w:tbl>
    <w:p w14:paraId="3AE2B65C" w14:textId="6487B9DF" w:rsidR="00FB4DDD" w:rsidRDefault="00FB4DDD" w:rsidP="00CB36FD">
      <w:pPr>
        <w:keepNext/>
        <w:rPr>
          <w:lang w:val="en-US"/>
        </w:rPr>
      </w:pPr>
      <w:r>
        <w:rPr>
          <w:lang w:val="en-US"/>
        </w:rPr>
        <w:t>New monitoring adjacent to the resi</w:t>
      </w:r>
      <w:r w:rsidR="00184C77">
        <w:rPr>
          <w:lang w:val="en-US"/>
        </w:rPr>
        <w:t>dence</w:t>
      </w:r>
      <w:r>
        <w:rPr>
          <w:lang w:val="en-US"/>
        </w:rPr>
        <w:t xml:space="preserve"> behind DT81 has been set up to confirm </w:t>
      </w:r>
      <w:r w:rsidR="00184C77">
        <w:rPr>
          <w:lang w:val="en-US"/>
        </w:rPr>
        <w:t xml:space="preserve">the </w:t>
      </w:r>
      <w:r>
        <w:rPr>
          <w:lang w:val="en-US"/>
        </w:rPr>
        <w:t xml:space="preserve">distance correction </w:t>
      </w:r>
      <w:r w:rsidR="00184C77">
        <w:rPr>
          <w:lang w:val="en-US"/>
        </w:rPr>
        <w:t>calculation</w:t>
      </w:r>
      <w:r>
        <w:rPr>
          <w:lang w:val="en-US"/>
        </w:rPr>
        <w:t xml:space="preserve"> that the annual mean objective is not exceeded</w:t>
      </w:r>
      <w:r w:rsidR="00184C77">
        <w:rPr>
          <w:lang w:val="en-US"/>
        </w:rPr>
        <w:t xml:space="preserve"> at this location</w:t>
      </w:r>
      <w:r>
        <w:rPr>
          <w:lang w:val="en-US"/>
        </w:rPr>
        <w:t>.</w:t>
      </w:r>
    </w:p>
    <w:p w14:paraId="01DFA637" w14:textId="403838BE" w:rsidR="002B54D5" w:rsidRDefault="002B54D5" w:rsidP="006119E4">
      <w:pPr>
        <w:rPr>
          <w:lang w:val="en-US"/>
        </w:rPr>
      </w:pPr>
      <w:r>
        <w:rPr>
          <w:lang w:val="en-US"/>
        </w:rPr>
        <w:t>LAQM.TG(22)</w:t>
      </w:r>
      <w:r w:rsidR="00CB36FD">
        <w:rPr>
          <w:rStyle w:val="FootnoteReference"/>
          <w:lang w:val="en-US"/>
        </w:rPr>
        <w:footnoteReference w:id="15"/>
      </w:r>
      <w:r>
        <w:rPr>
          <w:lang w:val="en-US"/>
        </w:rPr>
        <w:t xml:space="preserve"> provides </w:t>
      </w:r>
      <w:r w:rsidR="00CB36FD">
        <w:rPr>
          <w:lang w:val="en-US"/>
        </w:rPr>
        <w:t xml:space="preserve">examples of where the 1-hour mean air quality objective should apply. For example, it should apply at kerbside sites such as pavements of busy shopping streets, however, it should not apply at kerbside sites where the public would not be expected to have regular access. </w:t>
      </w:r>
    </w:p>
    <w:p w14:paraId="6F5DB03E" w14:textId="5F56FCD1" w:rsidR="00CB36FD" w:rsidRDefault="00CB36FD" w:rsidP="006119E4">
      <w:pPr>
        <w:rPr>
          <w:lang w:val="en-US"/>
        </w:rPr>
      </w:pPr>
      <w:r>
        <w:rPr>
          <w:lang w:val="en-US"/>
        </w:rPr>
        <w:t xml:space="preserve">The pavement on which DT81 is located would not be expected to have regular access because it is a dead end. Therefore, DT81 is not </w:t>
      </w:r>
      <w:r w:rsidR="00184C77">
        <w:rPr>
          <w:lang w:val="en-US"/>
        </w:rPr>
        <w:t xml:space="preserve">considered to be </w:t>
      </w:r>
      <w:r>
        <w:rPr>
          <w:lang w:val="en-US"/>
        </w:rPr>
        <w:t>located at relevant exposure for the 1-hour mean NO</w:t>
      </w:r>
      <w:r w:rsidRPr="00DF643F">
        <w:rPr>
          <w:vertAlign w:val="subscript"/>
          <w:lang w:val="en-US"/>
        </w:rPr>
        <w:t xml:space="preserve">2 </w:t>
      </w:r>
      <w:r>
        <w:rPr>
          <w:lang w:val="en-US"/>
        </w:rPr>
        <w:t xml:space="preserve">objective. </w:t>
      </w:r>
      <w:r w:rsidR="00FB4DDD">
        <w:rPr>
          <w:lang w:val="en-US"/>
        </w:rPr>
        <w:t xml:space="preserve">There is a cycle path and footpath just behind DT81 which may be considered relevant exposure </w:t>
      </w:r>
      <w:r w:rsidR="00184C77">
        <w:rPr>
          <w:lang w:val="en-US"/>
        </w:rPr>
        <w:t>points for the 1-hour mean NO</w:t>
      </w:r>
      <w:r w:rsidR="00184C77" w:rsidRPr="00DF643F">
        <w:rPr>
          <w:vertAlign w:val="subscript"/>
          <w:lang w:val="en-US"/>
        </w:rPr>
        <w:t>2</w:t>
      </w:r>
      <w:r w:rsidR="00184C77">
        <w:rPr>
          <w:lang w:val="en-US"/>
        </w:rPr>
        <w:t xml:space="preserve"> objective </w:t>
      </w:r>
      <w:r w:rsidR="00FB4DDD">
        <w:rPr>
          <w:lang w:val="en-US"/>
        </w:rPr>
        <w:t xml:space="preserve">and further work </w:t>
      </w:r>
      <w:r w:rsidR="00184C77">
        <w:rPr>
          <w:lang w:val="en-US"/>
        </w:rPr>
        <w:t>has been commissioned</w:t>
      </w:r>
      <w:r w:rsidR="00FB4DDD">
        <w:rPr>
          <w:lang w:val="en-US"/>
        </w:rPr>
        <w:t xml:space="preserve"> to identify the risk of exceedance and potential mitigation measures such as erecting an air quality barrier</w:t>
      </w:r>
      <w:r w:rsidR="00184C77">
        <w:rPr>
          <w:lang w:val="en-US"/>
        </w:rPr>
        <w:t>, with quantification therefore to be provided at a later date.</w:t>
      </w:r>
      <w:r w:rsidR="00FB4DDD">
        <w:rPr>
          <w:lang w:val="en-US"/>
        </w:rPr>
        <w:t xml:space="preserve">  </w:t>
      </w:r>
    </w:p>
    <w:p w14:paraId="61469BBC" w14:textId="7084A3B5" w:rsidR="00627A74" w:rsidRDefault="00627A74" w:rsidP="002A2BBF"/>
    <w:p w14:paraId="404B4310" w14:textId="26603B73" w:rsidR="00C34F58" w:rsidRPr="00C34F58" w:rsidRDefault="00284FF9" w:rsidP="00C34F58">
      <w:pPr>
        <w:pStyle w:val="Heading2"/>
      </w:pPr>
      <w:bookmarkStart w:id="143" w:name="_Toc222131885"/>
      <w:r>
        <w:lastRenderedPageBreak/>
        <w:t>Measure 6</w:t>
      </w:r>
      <w:r w:rsidR="007F2DF4">
        <w:t xml:space="preserve"> – Car Clubs</w:t>
      </w:r>
      <w:bookmarkEnd w:id="143"/>
    </w:p>
    <w:p w14:paraId="2415A1A4" w14:textId="2AAE4C86" w:rsidR="004C04F4" w:rsidRDefault="00124AB8" w:rsidP="002A2BBF">
      <w:r>
        <w:t xml:space="preserve">Studies have found that one car club car can replace </w:t>
      </w:r>
      <w:r w:rsidR="004C04F4">
        <w:t xml:space="preserve">between </w:t>
      </w:r>
      <w:r>
        <w:t>4 to 26 privately owned vehicles</w:t>
      </w:r>
      <w:r>
        <w:rPr>
          <w:rStyle w:val="FootnoteReference"/>
        </w:rPr>
        <w:footnoteReference w:id="16"/>
      </w:r>
      <w:r>
        <w:rPr>
          <w:vertAlign w:val="superscript"/>
        </w:rPr>
        <w:t>,</w:t>
      </w:r>
      <w:r>
        <w:rPr>
          <w:rStyle w:val="FootnoteReference"/>
        </w:rPr>
        <w:footnoteReference w:id="17"/>
      </w:r>
      <w:r>
        <w:rPr>
          <w:vertAlign w:val="superscript"/>
        </w:rPr>
        <w:t>,</w:t>
      </w:r>
      <w:r>
        <w:rPr>
          <w:rStyle w:val="FootnoteReference"/>
        </w:rPr>
        <w:footnoteReference w:id="18"/>
      </w:r>
      <w:r>
        <w:rPr>
          <w:vertAlign w:val="superscript"/>
        </w:rPr>
        <w:t>,</w:t>
      </w:r>
      <w:bookmarkStart w:id="144" w:name="_Ref210809553"/>
      <w:r>
        <w:rPr>
          <w:rStyle w:val="FootnoteReference"/>
        </w:rPr>
        <w:footnoteReference w:id="19"/>
      </w:r>
      <w:bookmarkEnd w:id="144"/>
      <w:r>
        <w:t xml:space="preserve">, </w:t>
      </w:r>
      <w:r w:rsidR="004C04F4">
        <w:t xml:space="preserve">although </w:t>
      </w:r>
      <w:r>
        <w:t>the number of private cars replaced by a car club vehicle is highly dependent on the environment in which it operates</w:t>
      </w:r>
      <w:r>
        <w:fldChar w:fldCharType="begin"/>
      </w:r>
      <w:r>
        <w:instrText xml:space="preserve"> NOTEREF _Ref210809553 \f \h </w:instrText>
      </w:r>
      <w:r>
        <w:fldChar w:fldCharType="separate"/>
      </w:r>
      <w:r w:rsidRPr="00DF643F">
        <w:rPr>
          <w:rStyle w:val="FootnoteReference"/>
        </w:rPr>
        <w:t>16</w:t>
      </w:r>
      <w:r>
        <w:fldChar w:fldCharType="end"/>
      </w:r>
      <w:r>
        <w:rPr>
          <w:vertAlign w:val="superscript"/>
        </w:rPr>
        <w:t>,</w:t>
      </w:r>
      <w:r>
        <w:rPr>
          <w:rStyle w:val="FootnoteReference"/>
        </w:rPr>
        <w:footnoteReference w:id="20"/>
      </w:r>
      <w:r>
        <w:t xml:space="preserve">. </w:t>
      </w:r>
    </w:p>
    <w:p w14:paraId="3F88E858" w14:textId="77777777" w:rsidR="00075ADD" w:rsidRDefault="00124AB8" w:rsidP="002A2BBF">
      <w:r>
        <w:t>T</w:t>
      </w:r>
      <w:r w:rsidR="004C04F4">
        <w:t>herefore, t</w:t>
      </w:r>
      <w:r>
        <w:t>o estimate the NO</w:t>
      </w:r>
      <w:r w:rsidRPr="00DF643F">
        <w:rPr>
          <w:vertAlign w:val="subscript"/>
        </w:rPr>
        <w:t>x</w:t>
      </w:r>
      <w:r>
        <w:t xml:space="preserve"> emissions savings of a car club car in Newcastle the EFT v13.1 was run with</w:t>
      </w:r>
      <w:r w:rsidR="00075ADD">
        <w:t>:</w:t>
      </w:r>
    </w:p>
    <w:p w14:paraId="67B58DAB" w14:textId="5DB0F3BC" w:rsidR="00075ADD" w:rsidRDefault="00075ADD" w:rsidP="00075ADD">
      <w:pPr>
        <w:pStyle w:val="ListParagraph"/>
        <w:numPr>
          <w:ilvl w:val="0"/>
          <w:numId w:val="13"/>
        </w:numPr>
      </w:pPr>
      <w:r>
        <w:t>1</w:t>
      </w:r>
      <w:r w:rsidR="0035264F">
        <w:t>5</w:t>
      </w:r>
      <w:r w:rsidR="00124AB8">
        <w:t xml:space="preserve"> car</w:t>
      </w:r>
      <w:r w:rsidR="0035264F">
        <w:t xml:space="preserve">s (predicted number of privately owned cars that </w:t>
      </w:r>
      <w:r>
        <w:t>may be</w:t>
      </w:r>
      <w:r w:rsidR="0035264F">
        <w:t xml:space="preserve"> replaced by a </w:t>
      </w:r>
      <w:r>
        <w:t xml:space="preserve">single </w:t>
      </w:r>
      <w:r w:rsidR="0035264F">
        <w:t>Car Club car)</w:t>
      </w:r>
      <w:r>
        <w:t>;</w:t>
      </w:r>
      <w:r w:rsidR="00124AB8">
        <w:t xml:space="preserve"> and the</w:t>
      </w:r>
      <w:r>
        <w:t xml:space="preserve"> b</w:t>
      </w:r>
      <w:r w:rsidR="00124AB8">
        <w:t xml:space="preserve">espoke Euro Fleet </w:t>
      </w:r>
      <w:r>
        <w:t xml:space="preserve">for </w:t>
      </w:r>
      <w:r w:rsidR="00124AB8">
        <w:t>Newcastle</w:t>
      </w:r>
      <w:r>
        <w:t xml:space="preserve">; </w:t>
      </w:r>
      <w:r w:rsidR="00124AB8">
        <w:t>and</w:t>
      </w:r>
      <w:r>
        <w:t>,</w:t>
      </w:r>
    </w:p>
    <w:p w14:paraId="1DE90339" w14:textId="18E4FB68" w:rsidR="004C04F4" w:rsidRDefault="00075ADD" w:rsidP="00DF643F">
      <w:pPr>
        <w:pStyle w:val="ListParagraph"/>
        <w:numPr>
          <w:ilvl w:val="0"/>
          <w:numId w:val="13"/>
        </w:numPr>
      </w:pPr>
      <w:r>
        <w:t xml:space="preserve">One </w:t>
      </w:r>
      <w:r w:rsidR="00124AB8">
        <w:t xml:space="preserve">petrol </w:t>
      </w:r>
      <w:r>
        <w:t xml:space="preserve">Car Club vehicle, assumed to be a petrol </w:t>
      </w:r>
      <w:r w:rsidR="00124AB8">
        <w:t xml:space="preserve">Euro 6 class (Euro </w:t>
      </w:r>
      <w:r w:rsidR="00D76FAE">
        <w:t>6 d/e)</w:t>
      </w:r>
      <w:r w:rsidR="0035264F">
        <w:t xml:space="preserve">. </w:t>
      </w:r>
    </w:p>
    <w:p w14:paraId="0B6F5944" w14:textId="238D86A5" w:rsidR="00C34F58" w:rsidRDefault="0035264F" w:rsidP="002A2BBF">
      <w:r>
        <w:t>It is estimated that one Car Club car could save 72.8% in annual NO</w:t>
      </w:r>
      <w:r w:rsidRPr="00DF643F">
        <w:rPr>
          <w:vertAlign w:val="subscript"/>
        </w:rPr>
        <w:t>x</w:t>
      </w:r>
      <w:r>
        <w:t xml:space="preserve"> emissions</w:t>
      </w:r>
      <w:r w:rsidR="00075ADD">
        <w:t xml:space="preserve"> by</w:t>
      </w:r>
      <w:r>
        <w:t xml:space="preserve"> replacing 15 privately owned vehicles as demonstrated in </w:t>
      </w:r>
      <w:r w:rsidR="00346073" w:rsidRPr="00346073">
        <w:fldChar w:fldCharType="begin"/>
      </w:r>
      <w:r w:rsidR="00346073" w:rsidRPr="00346073">
        <w:instrText xml:space="preserve"> REF _Ref210817404 \h </w:instrText>
      </w:r>
      <w:r w:rsidR="00346073" w:rsidRPr="00DF643F">
        <w:instrText xml:space="preserve"> \* MERGEFORMAT </w:instrText>
      </w:r>
      <w:r w:rsidR="00346073" w:rsidRPr="00346073">
        <w:fldChar w:fldCharType="separate"/>
      </w:r>
      <w:r w:rsidR="00346073" w:rsidRPr="00DF643F">
        <w:t xml:space="preserve">Table </w:t>
      </w:r>
      <w:r w:rsidR="00346073" w:rsidRPr="00DF643F">
        <w:rPr>
          <w:noProof/>
        </w:rPr>
        <w:t>6</w:t>
      </w:r>
      <w:r w:rsidR="00346073" w:rsidRPr="00DF643F">
        <w:t>.</w:t>
      </w:r>
      <w:r w:rsidR="00346073" w:rsidRPr="00DF643F">
        <w:rPr>
          <w:noProof/>
        </w:rPr>
        <w:t>6</w:t>
      </w:r>
      <w:r w:rsidR="00346073" w:rsidRPr="00346073">
        <w:fldChar w:fldCharType="end"/>
      </w:r>
      <w:r w:rsidR="00346073" w:rsidRPr="00346073">
        <w:t>.</w:t>
      </w:r>
    </w:p>
    <w:p w14:paraId="4C6644FD" w14:textId="3A1C4F10" w:rsidR="00D76FAE" w:rsidRDefault="00D76FAE" w:rsidP="00D76FAE">
      <w:pPr>
        <w:rPr>
          <w:b/>
          <w:bCs/>
          <w:color w:val="006726"/>
        </w:rPr>
      </w:pPr>
      <w:bookmarkStart w:id="145" w:name="_Ref210817404"/>
      <w:bookmarkStart w:id="146" w:name="_Toc222131911"/>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Pr>
          <w:b/>
          <w:bCs/>
          <w:noProof/>
          <w:color w:val="006726"/>
        </w:rPr>
        <w:t>6</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Pr>
          <w:b/>
          <w:bCs/>
          <w:noProof/>
          <w:color w:val="006726"/>
        </w:rPr>
        <w:t>6</w:t>
      </w:r>
      <w:r w:rsidRPr="00A85C14">
        <w:rPr>
          <w:b/>
          <w:bCs/>
          <w:color w:val="006726"/>
        </w:rPr>
        <w:fldChar w:fldCharType="end"/>
      </w:r>
      <w:bookmarkEnd w:id="145"/>
      <w:r w:rsidRPr="00A85C14">
        <w:rPr>
          <w:b/>
          <w:bCs/>
          <w:color w:val="006726"/>
        </w:rPr>
        <w:t xml:space="preserve"> – </w:t>
      </w:r>
      <w:r w:rsidR="00346073">
        <w:rPr>
          <w:b/>
          <w:bCs/>
          <w:color w:val="006726"/>
        </w:rPr>
        <w:t>Annual NO</w:t>
      </w:r>
      <w:r w:rsidR="00346073" w:rsidRPr="00DF643F">
        <w:rPr>
          <w:b/>
          <w:bCs/>
          <w:color w:val="006726"/>
          <w:vertAlign w:val="subscript"/>
        </w:rPr>
        <w:t>x</w:t>
      </w:r>
      <w:r w:rsidR="00346073">
        <w:rPr>
          <w:b/>
          <w:bCs/>
          <w:color w:val="006726"/>
        </w:rPr>
        <w:t xml:space="preserve"> emissions savings from one Euro 6 Car Club car replacing 15 privately owned vehicles</w:t>
      </w:r>
      <w:bookmarkEnd w:id="146"/>
    </w:p>
    <w:tbl>
      <w:tblPr>
        <w:tblStyle w:val="TableStyle4"/>
        <w:tblW w:w="0" w:type="auto"/>
        <w:tblLook w:val="04A0" w:firstRow="1" w:lastRow="0" w:firstColumn="1" w:lastColumn="0" w:noHBand="0" w:noVBand="1"/>
        <w:tblCaption w:val="Declared Air Quality Management Areas"/>
        <w:tblDescription w:val="The table shows the current AQMAs that are designated within the council."/>
      </w:tblPr>
      <w:tblGrid>
        <w:gridCol w:w="2043"/>
        <w:gridCol w:w="1398"/>
        <w:gridCol w:w="2079"/>
        <w:gridCol w:w="1398"/>
        <w:gridCol w:w="2142"/>
      </w:tblGrid>
      <w:tr w:rsidR="00477857" w:rsidRPr="002A53BD" w14:paraId="5B05FAE5" w14:textId="77777777" w:rsidTr="00DF643F">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0" w:type="auto"/>
            <w:shd w:val="clear" w:color="auto" w:fill="006600"/>
          </w:tcPr>
          <w:p w14:paraId="61865268" w14:textId="2090B859" w:rsidR="00477857" w:rsidRPr="002A08F0" w:rsidRDefault="00477857" w:rsidP="00285166">
            <w:pPr>
              <w:spacing w:before="0" w:after="0" w:line="240" w:lineRule="auto"/>
              <w:rPr>
                <w:bCs/>
                <w:color w:val="FFFFFF" w:themeColor="background1"/>
              </w:rPr>
            </w:pPr>
            <w:r>
              <w:rPr>
                <w:bCs/>
                <w:color w:val="FFFFFF" w:themeColor="background1"/>
              </w:rPr>
              <w:t>Annual NO</w:t>
            </w:r>
            <w:r w:rsidRPr="00DF643F">
              <w:rPr>
                <w:bCs/>
                <w:color w:val="FFFFFF" w:themeColor="background1"/>
                <w:vertAlign w:val="subscript"/>
              </w:rPr>
              <w:t>x</w:t>
            </w:r>
            <w:r>
              <w:rPr>
                <w:bCs/>
                <w:color w:val="FFFFFF" w:themeColor="background1"/>
              </w:rPr>
              <w:t xml:space="preserve"> emissions of 15 typical cars in Newcastle (kg/yr)</w:t>
            </w:r>
          </w:p>
        </w:tc>
        <w:tc>
          <w:tcPr>
            <w:tcW w:w="0" w:type="auto"/>
            <w:shd w:val="clear" w:color="auto" w:fill="006600"/>
          </w:tcPr>
          <w:p w14:paraId="69CEF57C" w14:textId="42015656" w:rsidR="00477857" w:rsidRDefault="00477857" w:rsidP="00285166">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Average annual milage (km)</w:t>
            </w:r>
          </w:p>
        </w:tc>
        <w:tc>
          <w:tcPr>
            <w:tcW w:w="0" w:type="auto"/>
            <w:shd w:val="clear" w:color="auto" w:fill="006600"/>
          </w:tcPr>
          <w:p w14:paraId="791458F0" w14:textId="25C74C83" w:rsidR="00477857" w:rsidRPr="002A08F0" w:rsidRDefault="00477857" w:rsidP="00285166">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Annual NO</w:t>
            </w:r>
            <w:r w:rsidRPr="00DF643F">
              <w:rPr>
                <w:bCs/>
                <w:color w:val="FFFFFF" w:themeColor="background1"/>
                <w:vertAlign w:val="subscript"/>
              </w:rPr>
              <w:t>x</w:t>
            </w:r>
            <w:r>
              <w:rPr>
                <w:bCs/>
                <w:color w:val="FFFFFF" w:themeColor="background1"/>
              </w:rPr>
              <w:t xml:space="preserve"> emissions of one Euro 6 petrol Car Club car (kg/yr)</w:t>
            </w:r>
          </w:p>
        </w:tc>
        <w:tc>
          <w:tcPr>
            <w:tcW w:w="0" w:type="auto"/>
            <w:shd w:val="clear" w:color="auto" w:fill="006600"/>
          </w:tcPr>
          <w:p w14:paraId="1CA4E461" w14:textId="54D2432C" w:rsidR="00477857" w:rsidRDefault="00477857" w:rsidP="00285166">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Average annual milage (km)</w:t>
            </w:r>
          </w:p>
        </w:tc>
        <w:tc>
          <w:tcPr>
            <w:tcW w:w="0" w:type="auto"/>
            <w:shd w:val="clear" w:color="auto" w:fill="006600"/>
          </w:tcPr>
          <w:p w14:paraId="553E8876" w14:textId="6AFD0519" w:rsidR="00477857" w:rsidRDefault="00477857" w:rsidP="00285166">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Annual NO</w:t>
            </w:r>
            <w:r w:rsidRPr="00DF643F">
              <w:rPr>
                <w:bCs/>
                <w:color w:val="FFFFFF" w:themeColor="background1"/>
                <w:vertAlign w:val="subscript"/>
              </w:rPr>
              <w:t>x</w:t>
            </w:r>
            <w:r>
              <w:rPr>
                <w:bCs/>
                <w:color w:val="FFFFFF" w:themeColor="background1"/>
              </w:rPr>
              <w:t xml:space="preserve"> emissions savings with one Euro 6 Car Club Car (</w:t>
            </w:r>
            <w:r w:rsidR="00CA73A0">
              <w:rPr>
                <w:bCs/>
                <w:color w:val="FFFFFF" w:themeColor="background1"/>
              </w:rPr>
              <w:t>kg/yr</w:t>
            </w:r>
            <w:r>
              <w:rPr>
                <w:bCs/>
                <w:color w:val="FFFFFF" w:themeColor="background1"/>
              </w:rPr>
              <w:t>)</w:t>
            </w:r>
          </w:p>
        </w:tc>
      </w:tr>
      <w:tr w:rsidR="00477857" w:rsidRPr="002A53BD" w14:paraId="1009AEEE" w14:textId="77777777" w:rsidTr="00DF643F">
        <w:trPr>
          <w:trHeight w:val="880"/>
        </w:trPr>
        <w:tc>
          <w:tcPr>
            <w:cnfStyle w:val="001000000000" w:firstRow="0" w:lastRow="0" w:firstColumn="1" w:lastColumn="0" w:oddVBand="0" w:evenVBand="0" w:oddHBand="0" w:evenHBand="0" w:firstRowFirstColumn="0" w:firstRowLastColumn="0" w:lastRowFirstColumn="0" w:lastRowLastColumn="0"/>
            <w:tcW w:w="0" w:type="auto"/>
          </w:tcPr>
          <w:p w14:paraId="0F770FD7" w14:textId="1D0CBFB7" w:rsidR="00477857" w:rsidRPr="00CA73A0" w:rsidRDefault="00477857" w:rsidP="00285166">
            <w:pPr>
              <w:spacing w:before="0" w:after="0" w:line="240" w:lineRule="auto"/>
              <w:rPr>
                <w:rFonts w:eastAsia="Times New Roman" w:cs="Arial"/>
                <w:sz w:val="22"/>
                <w:szCs w:val="22"/>
                <w:vertAlign w:val="superscript"/>
                <w:lang w:val="en-US" w:eastAsia="zh-CN"/>
              </w:rPr>
            </w:pPr>
            <w:r>
              <w:rPr>
                <w:rFonts w:eastAsia="Times New Roman" w:cs="Arial"/>
                <w:sz w:val="22"/>
                <w:szCs w:val="22"/>
                <w:lang w:val="en-US" w:eastAsia="zh-CN"/>
              </w:rPr>
              <w:t>6,497.7</w:t>
            </w:r>
            <w:r w:rsidR="00CA73A0">
              <w:rPr>
                <w:rFonts w:eastAsia="Times New Roman" w:cs="Arial"/>
                <w:sz w:val="22"/>
                <w:szCs w:val="22"/>
                <w:vertAlign w:val="superscript"/>
                <w:lang w:val="en-US" w:eastAsia="zh-CN"/>
              </w:rPr>
              <w:t>1</w:t>
            </w:r>
          </w:p>
        </w:tc>
        <w:tc>
          <w:tcPr>
            <w:tcW w:w="0" w:type="auto"/>
          </w:tcPr>
          <w:p w14:paraId="4C32C7C5" w14:textId="7B527861" w:rsidR="00477857" w:rsidRPr="00DF643F" w:rsidRDefault="00477857" w:rsidP="002851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7,300</w:t>
            </w:r>
            <w:r w:rsidR="00CA73A0">
              <w:rPr>
                <w:rFonts w:cs="Arial"/>
                <w:sz w:val="22"/>
                <w:szCs w:val="22"/>
                <w:vertAlign w:val="superscript"/>
                <w:lang w:val="en-US" w:eastAsia="zh-CN"/>
              </w:rPr>
              <w:t>2</w:t>
            </w:r>
          </w:p>
        </w:tc>
        <w:tc>
          <w:tcPr>
            <w:tcW w:w="0" w:type="auto"/>
          </w:tcPr>
          <w:p w14:paraId="65A76D1E" w14:textId="0D238462" w:rsidR="00477857" w:rsidRPr="00CA73A0" w:rsidRDefault="00477857" w:rsidP="00285166">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vertAlign w:val="superscript"/>
                <w:lang w:val="en-US" w:eastAsia="zh-CN"/>
              </w:rPr>
            </w:pPr>
            <w:r>
              <w:rPr>
                <w:rFonts w:eastAsia="Times New Roman" w:cs="Arial"/>
                <w:sz w:val="22"/>
                <w:szCs w:val="22"/>
                <w:lang w:val="en-US" w:eastAsia="zh-CN"/>
              </w:rPr>
              <w:t>1,769.1</w:t>
            </w:r>
            <w:r w:rsidR="0035264F">
              <w:rPr>
                <w:rFonts w:eastAsia="Times New Roman" w:cs="Arial"/>
                <w:sz w:val="22"/>
                <w:szCs w:val="22"/>
                <w:vertAlign w:val="superscript"/>
                <w:lang w:val="en-US" w:eastAsia="zh-CN"/>
              </w:rPr>
              <w:t>3</w:t>
            </w:r>
          </w:p>
        </w:tc>
        <w:tc>
          <w:tcPr>
            <w:tcW w:w="0" w:type="auto"/>
          </w:tcPr>
          <w:p w14:paraId="6311F2B6" w14:textId="269A6038" w:rsidR="00477857" w:rsidRPr="0035264F" w:rsidRDefault="00477857" w:rsidP="00285166">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109,500</w:t>
            </w:r>
            <w:r w:rsidR="0035264F">
              <w:rPr>
                <w:rFonts w:cs="Arial"/>
                <w:sz w:val="22"/>
                <w:szCs w:val="22"/>
                <w:vertAlign w:val="superscript"/>
                <w:lang w:val="en-US" w:eastAsia="zh-CN"/>
              </w:rPr>
              <w:t>4</w:t>
            </w:r>
          </w:p>
        </w:tc>
        <w:tc>
          <w:tcPr>
            <w:tcW w:w="0" w:type="auto"/>
          </w:tcPr>
          <w:p w14:paraId="04FA43DA" w14:textId="0B6A1C2A" w:rsidR="00477857" w:rsidRDefault="00CA73A0" w:rsidP="0035264F">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4,728.6</w:t>
            </w:r>
          </w:p>
        </w:tc>
      </w:tr>
      <w:tr w:rsidR="00CA73A0" w:rsidRPr="002A53BD" w14:paraId="1107DC0B" w14:textId="77777777" w:rsidTr="00444248">
        <w:trPr>
          <w:trHeight w:val="880"/>
        </w:trPr>
        <w:tc>
          <w:tcPr>
            <w:cnfStyle w:val="001000000000" w:firstRow="0" w:lastRow="0" w:firstColumn="1" w:lastColumn="0" w:oddVBand="0" w:evenVBand="0" w:oddHBand="0" w:evenHBand="0" w:firstRowFirstColumn="0" w:firstRowLastColumn="0" w:lastRowFirstColumn="0" w:lastRowLastColumn="0"/>
            <w:tcW w:w="0" w:type="auto"/>
            <w:gridSpan w:val="5"/>
          </w:tcPr>
          <w:p w14:paraId="291C124D" w14:textId="77777777" w:rsidR="00CA73A0" w:rsidRDefault="00CA73A0" w:rsidP="00CA73A0">
            <w:pPr>
              <w:spacing w:before="0" w:after="0" w:line="240" w:lineRule="auto"/>
              <w:jc w:val="left"/>
              <w:rPr>
                <w:rFonts w:cs="Arial"/>
                <w:sz w:val="22"/>
                <w:szCs w:val="22"/>
                <w:lang w:val="en-US" w:eastAsia="zh-CN"/>
              </w:rPr>
            </w:pPr>
            <w:r w:rsidRPr="00DF643F">
              <w:rPr>
                <w:rFonts w:cs="Arial"/>
                <w:b/>
                <w:bCs/>
                <w:sz w:val="22"/>
                <w:szCs w:val="22"/>
                <w:lang w:val="en-US" w:eastAsia="zh-CN"/>
              </w:rPr>
              <w:t>Note:</w:t>
            </w:r>
            <w:r>
              <w:rPr>
                <w:rFonts w:cs="Arial"/>
                <w:b/>
                <w:bCs/>
                <w:sz w:val="22"/>
                <w:szCs w:val="22"/>
                <w:lang w:val="en-US" w:eastAsia="zh-CN"/>
              </w:rPr>
              <w:t xml:space="preserve"> </w:t>
            </w:r>
            <w:r>
              <w:rPr>
                <w:rFonts w:cs="Arial"/>
                <w:sz w:val="22"/>
                <w:szCs w:val="22"/>
                <w:vertAlign w:val="superscript"/>
                <w:lang w:val="en-US" w:eastAsia="zh-CN"/>
              </w:rPr>
              <w:t>1</w:t>
            </w:r>
            <w:r>
              <w:rPr>
                <w:rFonts w:cs="Arial"/>
                <w:sz w:val="22"/>
                <w:szCs w:val="22"/>
                <w:lang w:val="en-US" w:eastAsia="zh-CN"/>
              </w:rPr>
              <w:t xml:space="preserve"> based on 2024 ANPR data </w:t>
            </w:r>
          </w:p>
          <w:p w14:paraId="0E9519A5" w14:textId="77777777" w:rsidR="00CA73A0" w:rsidRDefault="00CA73A0" w:rsidP="00CA73A0">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2 </w:t>
            </w:r>
            <w:r>
              <w:rPr>
                <w:rFonts w:cs="Arial"/>
                <w:sz w:val="22"/>
                <w:szCs w:val="22"/>
                <w:lang w:val="en-US" w:eastAsia="zh-CN"/>
              </w:rPr>
              <w:t>DfT (2024), Anonymised MOT tests and results, average of 2019 and 2023, excluding Covid-19 years</w:t>
            </w:r>
          </w:p>
          <w:p w14:paraId="187BF5A7" w14:textId="77777777" w:rsidR="0035264F" w:rsidRDefault="0035264F" w:rsidP="00CA73A0">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3 </w:t>
            </w:r>
            <w:r>
              <w:rPr>
                <w:rFonts w:cs="Arial"/>
                <w:sz w:val="22"/>
                <w:szCs w:val="22"/>
                <w:lang w:val="en-US" w:eastAsia="zh-CN"/>
              </w:rPr>
              <w:t>based on a petrol Euro 6 d/e car</w:t>
            </w:r>
          </w:p>
          <w:p w14:paraId="010AA927" w14:textId="0366AA79" w:rsidR="0035264F" w:rsidRPr="0035264F" w:rsidRDefault="0035264F" w:rsidP="00DF643F">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4 </w:t>
            </w:r>
            <w:r>
              <w:rPr>
                <w:rFonts w:cs="Arial"/>
                <w:sz w:val="22"/>
                <w:szCs w:val="22"/>
                <w:lang w:val="en-US" w:eastAsia="zh-CN"/>
              </w:rPr>
              <w:t>average annual milage multiplied by 15 to replace milage of 15 privately owned cars</w:t>
            </w:r>
          </w:p>
        </w:tc>
      </w:tr>
    </w:tbl>
    <w:p w14:paraId="11880251" w14:textId="77777777" w:rsidR="00C34F58" w:rsidRDefault="00C34F58" w:rsidP="002A2BBF"/>
    <w:p w14:paraId="7DC70F64" w14:textId="691FAFCA" w:rsidR="00284FF9" w:rsidRPr="00C34F58" w:rsidRDefault="00284FF9" w:rsidP="00DF643F">
      <w:pPr>
        <w:pStyle w:val="Heading2"/>
      </w:pPr>
      <w:bookmarkStart w:id="147" w:name="_Toc222131886"/>
      <w:r>
        <w:t>Measure 8</w:t>
      </w:r>
      <w:r w:rsidR="007F2DF4">
        <w:t xml:space="preserve"> – Electric </w:t>
      </w:r>
      <w:r w:rsidRPr="00284FF9">
        <w:t>charging infrastructure</w:t>
      </w:r>
      <w:bookmarkEnd w:id="147"/>
    </w:p>
    <w:p w14:paraId="018913A0" w14:textId="2C32ADDF" w:rsidR="004C04F4" w:rsidRDefault="00D46582" w:rsidP="002A2BBF">
      <w:r>
        <w:t xml:space="preserve">Zapmap </w:t>
      </w:r>
      <w:r w:rsidR="004C04F4">
        <w:t xml:space="preserve">routinely published </w:t>
      </w:r>
      <w:r>
        <w:t xml:space="preserve">a summary of the </w:t>
      </w:r>
      <w:r w:rsidR="00633FA7">
        <w:t>p</w:t>
      </w:r>
      <w:r w:rsidR="00633FA7" w:rsidRPr="00633FA7">
        <w:t>ublic charge point utilisation</w:t>
      </w:r>
      <w:r w:rsidR="00CE3C47">
        <w:rPr>
          <w:rStyle w:val="FootnoteReference"/>
        </w:rPr>
        <w:footnoteReference w:id="21"/>
      </w:r>
      <w:r w:rsidR="00CE3C47">
        <w:t xml:space="preserve">. These numbers </w:t>
      </w:r>
      <w:r w:rsidR="00F42181">
        <w:t>were</w:t>
      </w:r>
      <w:r w:rsidR="00CE3C47">
        <w:t xml:space="preserve"> used to calculate the total </w:t>
      </w:r>
      <w:r w:rsidR="00633FA7">
        <w:t xml:space="preserve">mileage travelled by an Electric Vehicle (EV) daily as shown in </w:t>
      </w:r>
      <w:r w:rsidR="00633FA7" w:rsidRPr="00633FA7">
        <w:fldChar w:fldCharType="begin"/>
      </w:r>
      <w:r w:rsidR="00633FA7" w:rsidRPr="00633FA7">
        <w:instrText xml:space="preserve"> REF _Ref210746541 \h </w:instrText>
      </w:r>
      <w:r w:rsidR="00633FA7" w:rsidRPr="00DF643F">
        <w:instrText xml:space="preserve"> \* MERGEFORMAT </w:instrText>
      </w:r>
      <w:r w:rsidR="00633FA7" w:rsidRPr="00633FA7">
        <w:fldChar w:fldCharType="separate"/>
      </w:r>
      <w:r w:rsidR="00633FA7" w:rsidRPr="00DF643F">
        <w:t xml:space="preserve">Table </w:t>
      </w:r>
      <w:r w:rsidR="00633FA7" w:rsidRPr="00DF643F">
        <w:rPr>
          <w:noProof/>
        </w:rPr>
        <w:t>6</w:t>
      </w:r>
      <w:r w:rsidR="00633FA7" w:rsidRPr="00DF643F">
        <w:t>.</w:t>
      </w:r>
      <w:r w:rsidR="00633FA7" w:rsidRPr="00DF643F">
        <w:rPr>
          <w:noProof/>
        </w:rPr>
        <w:t>1</w:t>
      </w:r>
      <w:r w:rsidR="00633FA7" w:rsidRPr="00633FA7">
        <w:fldChar w:fldCharType="end"/>
      </w:r>
      <w:r w:rsidR="00CE3C47" w:rsidRPr="00633FA7">
        <w:t xml:space="preserve">. </w:t>
      </w:r>
      <w:r w:rsidR="00CE3C47">
        <w:t xml:space="preserve">The EFT v13.1 was run with a nominal car </w:t>
      </w:r>
      <w:r w:rsidR="00633FA7">
        <w:t>and the Bespoke Euro Fleet of Newcastle to calculate the annual NO</w:t>
      </w:r>
      <w:r w:rsidR="00633FA7" w:rsidRPr="00DF643F">
        <w:rPr>
          <w:vertAlign w:val="subscript"/>
        </w:rPr>
        <w:t>x</w:t>
      </w:r>
      <w:r w:rsidR="00633FA7">
        <w:t xml:space="preserve"> emission savings </w:t>
      </w:r>
      <w:r w:rsidR="004C04F4">
        <w:t>that may be achieved by provision of</w:t>
      </w:r>
      <w:r w:rsidR="00633FA7">
        <w:t xml:space="preserve"> one ultra rapid charger</w:t>
      </w:r>
      <w:r w:rsidR="004C04F4">
        <w:t xml:space="preserve">. </w:t>
      </w:r>
    </w:p>
    <w:p w14:paraId="3F5A7D09" w14:textId="02EB2F60" w:rsidR="00C34F58" w:rsidRDefault="004C04F4" w:rsidP="002A2BBF">
      <w:r>
        <w:t xml:space="preserve">Using a cautious </w:t>
      </w:r>
      <w:r w:rsidR="00075ADD">
        <w:t xml:space="preserve">charge rate </w:t>
      </w:r>
      <w:r>
        <w:t xml:space="preserve">(i.e. relatively low speed) </w:t>
      </w:r>
      <w:r w:rsidR="00633FA7">
        <w:t>output of 50 kWh</w:t>
      </w:r>
      <w:r>
        <w:t>, the NO</w:t>
      </w:r>
      <w:r w:rsidR="007F2DF4">
        <w:rPr>
          <w:vertAlign w:val="subscript"/>
        </w:rPr>
        <w:t>x</w:t>
      </w:r>
      <w:r>
        <w:t xml:space="preserve"> emissions w</w:t>
      </w:r>
      <w:r w:rsidR="00A47F89">
        <w:t>ere</w:t>
      </w:r>
      <w:r>
        <w:t xml:space="preserve"> </w:t>
      </w:r>
      <w:r w:rsidR="00633FA7">
        <w:t xml:space="preserve">estimated </w:t>
      </w:r>
      <w:r>
        <w:t>to be</w:t>
      </w:r>
      <w:r w:rsidR="00633FA7">
        <w:t xml:space="preserve"> </w:t>
      </w:r>
      <w:r w:rsidR="00075ADD">
        <w:t xml:space="preserve">equivalent to </w:t>
      </w:r>
      <w:r w:rsidR="00633FA7">
        <w:t xml:space="preserve">32.2 kg/yr.  </w:t>
      </w:r>
    </w:p>
    <w:p w14:paraId="0526C8E8" w14:textId="3E75A02A" w:rsidR="00CE3C47" w:rsidRDefault="00CE3C47" w:rsidP="00CE3C47">
      <w:pPr>
        <w:rPr>
          <w:b/>
          <w:bCs/>
          <w:color w:val="006726"/>
        </w:rPr>
      </w:pPr>
      <w:bookmarkStart w:id="148" w:name="_Ref210746541"/>
      <w:bookmarkStart w:id="149" w:name="_Toc222131912"/>
      <w:r w:rsidRPr="00A85C14">
        <w:rPr>
          <w:b/>
          <w:bCs/>
          <w:color w:val="006726"/>
        </w:rPr>
        <w:t xml:space="preserve">Table </w:t>
      </w:r>
      <w:r w:rsidRPr="00A85C14">
        <w:rPr>
          <w:b/>
          <w:bCs/>
          <w:color w:val="006726"/>
        </w:rPr>
        <w:fldChar w:fldCharType="begin"/>
      </w:r>
      <w:r w:rsidRPr="00A85C14">
        <w:rPr>
          <w:b/>
          <w:bCs/>
          <w:color w:val="006726"/>
        </w:rPr>
        <w:instrText>STYLEREF 1 \s</w:instrText>
      </w:r>
      <w:r w:rsidRPr="00A85C14">
        <w:rPr>
          <w:b/>
          <w:bCs/>
          <w:color w:val="006726"/>
        </w:rPr>
        <w:fldChar w:fldCharType="separate"/>
      </w:r>
      <w:r w:rsidR="0047044D">
        <w:rPr>
          <w:b/>
          <w:bCs/>
          <w:noProof/>
          <w:color w:val="006726"/>
        </w:rPr>
        <w:t>6</w:t>
      </w:r>
      <w:r w:rsidRPr="00A85C14">
        <w:rPr>
          <w:b/>
          <w:bCs/>
          <w:color w:val="006726"/>
        </w:rPr>
        <w:fldChar w:fldCharType="end"/>
      </w:r>
      <w:r w:rsidRPr="00A85C14">
        <w:rPr>
          <w:b/>
          <w:bCs/>
          <w:color w:val="006726"/>
        </w:rPr>
        <w:t>.</w:t>
      </w:r>
      <w:r w:rsidRPr="00A85C14">
        <w:rPr>
          <w:b/>
          <w:bCs/>
          <w:color w:val="006726"/>
        </w:rPr>
        <w:fldChar w:fldCharType="begin"/>
      </w:r>
      <w:r w:rsidRPr="00A85C14">
        <w:rPr>
          <w:b/>
          <w:bCs/>
          <w:color w:val="006726"/>
        </w:rPr>
        <w:instrText>SEQ Table \* ARABIC \s 1</w:instrText>
      </w:r>
      <w:r w:rsidRPr="00A85C14">
        <w:rPr>
          <w:b/>
          <w:bCs/>
          <w:color w:val="006726"/>
        </w:rPr>
        <w:fldChar w:fldCharType="separate"/>
      </w:r>
      <w:r w:rsidR="0047044D">
        <w:rPr>
          <w:b/>
          <w:bCs/>
          <w:noProof/>
          <w:color w:val="006726"/>
        </w:rPr>
        <w:t>7</w:t>
      </w:r>
      <w:r w:rsidRPr="00A85C14">
        <w:rPr>
          <w:b/>
          <w:bCs/>
          <w:color w:val="006726"/>
        </w:rPr>
        <w:fldChar w:fldCharType="end"/>
      </w:r>
      <w:bookmarkEnd w:id="148"/>
      <w:r w:rsidRPr="00A85C14">
        <w:rPr>
          <w:b/>
          <w:bCs/>
          <w:color w:val="006726"/>
        </w:rPr>
        <w:t xml:space="preserve"> – </w:t>
      </w:r>
      <w:r>
        <w:rPr>
          <w:b/>
          <w:bCs/>
          <w:color w:val="006726"/>
        </w:rPr>
        <w:t xml:space="preserve">Calculation of total mileage travelled daily by </w:t>
      </w:r>
      <w:r w:rsidR="00633FA7">
        <w:rPr>
          <w:b/>
          <w:bCs/>
          <w:color w:val="006726"/>
        </w:rPr>
        <w:t>an Electric Vehicle</w:t>
      </w:r>
      <w:r>
        <w:rPr>
          <w:b/>
          <w:bCs/>
          <w:color w:val="006726"/>
        </w:rPr>
        <w:t xml:space="preserve"> </w:t>
      </w:r>
      <w:r w:rsidR="00633FA7">
        <w:rPr>
          <w:b/>
          <w:bCs/>
          <w:color w:val="006726"/>
        </w:rPr>
        <w:t>(</w:t>
      </w:r>
      <w:r>
        <w:rPr>
          <w:b/>
          <w:bCs/>
          <w:color w:val="006726"/>
        </w:rPr>
        <w:t>EV</w:t>
      </w:r>
      <w:r w:rsidR="00633FA7">
        <w:rPr>
          <w:b/>
          <w:bCs/>
          <w:color w:val="006726"/>
        </w:rPr>
        <w:t>) charged at a ultra rapid charger of 50kWh +</w:t>
      </w:r>
      <w:bookmarkEnd w:id="149"/>
    </w:p>
    <w:tbl>
      <w:tblPr>
        <w:tblStyle w:val="TableStyle4"/>
        <w:tblW w:w="5000" w:type="pct"/>
        <w:tblLook w:val="04A0" w:firstRow="1" w:lastRow="0" w:firstColumn="1" w:lastColumn="0" w:noHBand="0" w:noVBand="1"/>
        <w:tblCaption w:val="Declared Air Quality Management Areas"/>
        <w:tblDescription w:val="The table shows the current AQMAs that are designated within the council."/>
      </w:tblPr>
      <w:tblGrid>
        <w:gridCol w:w="1253"/>
        <w:gridCol w:w="1951"/>
        <w:gridCol w:w="1952"/>
        <w:gridCol w:w="1952"/>
        <w:gridCol w:w="1952"/>
      </w:tblGrid>
      <w:tr w:rsidR="00CE3C47" w:rsidRPr="002A53BD" w14:paraId="431CC2B6" w14:textId="177C5DA6" w:rsidTr="00DF643F">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692" w:type="pct"/>
            <w:shd w:val="clear" w:color="auto" w:fill="006600"/>
          </w:tcPr>
          <w:p w14:paraId="5908E88C" w14:textId="23B0F292" w:rsidR="00CE3C47" w:rsidRPr="002A08F0" w:rsidRDefault="00CE3C47" w:rsidP="00EA12D8">
            <w:pPr>
              <w:spacing w:before="0" w:after="0" w:line="240" w:lineRule="auto"/>
              <w:rPr>
                <w:bCs/>
                <w:color w:val="FFFFFF" w:themeColor="background1"/>
              </w:rPr>
            </w:pPr>
            <w:r>
              <w:rPr>
                <w:bCs/>
                <w:color w:val="FFFFFF" w:themeColor="background1"/>
              </w:rPr>
              <w:t>Average number of charge sessions per day</w:t>
            </w:r>
          </w:p>
        </w:tc>
        <w:tc>
          <w:tcPr>
            <w:tcW w:w="1077" w:type="pct"/>
            <w:shd w:val="clear" w:color="auto" w:fill="006600"/>
          </w:tcPr>
          <w:p w14:paraId="45CE2278" w14:textId="51DD2AAD" w:rsidR="00CE3C47" w:rsidRPr="002A08F0" w:rsidRDefault="00CE3C47" w:rsidP="00EA12D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Average session duration (min)</w:t>
            </w:r>
          </w:p>
        </w:tc>
        <w:tc>
          <w:tcPr>
            <w:tcW w:w="1077" w:type="pct"/>
            <w:shd w:val="clear" w:color="auto" w:fill="006600"/>
          </w:tcPr>
          <w:p w14:paraId="100D26BF" w14:textId="7C93F91D" w:rsidR="00CE3C47" w:rsidRDefault="00CE3C47" w:rsidP="00EA12D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Total kWh provided</w:t>
            </w:r>
            <w:r w:rsidR="00633FA7">
              <w:rPr>
                <w:bCs/>
                <w:color w:val="FFFFFF" w:themeColor="background1"/>
              </w:rPr>
              <w:t xml:space="preserve"> if 50 kWh output</w:t>
            </w:r>
          </w:p>
        </w:tc>
        <w:tc>
          <w:tcPr>
            <w:tcW w:w="1077" w:type="pct"/>
            <w:shd w:val="clear" w:color="auto" w:fill="006600"/>
          </w:tcPr>
          <w:p w14:paraId="639415FF" w14:textId="1DFF7B69" w:rsidR="00CE3C47" w:rsidRDefault="00CE3C47" w:rsidP="00EA12D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Average EV car energy consumption per km (kWh)</w:t>
            </w:r>
          </w:p>
        </w:tc>
        <w:tc>
          <w:tcPr>
            <w:tcW w:w="1077" w:type="pct"/>
            <w:shd w:val="clear" w:color="auto" w:fill="006600"/>
          </w:tcPr>
          <w:p w14:paraId="192172BA" w14:textId="695B9BC3" w:rsidR="00CE3C47" w:rsidRDefault="00CE3C47" w:rsidP="00EA12D8">
            <w:pPr>
              <w:spacing w:before="0" w:after="0" w:line="240" w:lineRule="auto"/>
              <w:cnfStyle w:val="100000000000" w:firstRow="1" w:lastRow="0" w:firstColumn="0" w:lastColumn="0" w:oddVBand="0" w:evenVBand="0" w:oddHBand="0" w:evenHBand="0" w:firstRowFirstColumn="0" w:firstRowLastColumn="0" w:lastRowFirstColumn="0" w:lastRowLastColumn="0"/>
              <w:rPr>
                <w:bCs/>
                <w:color w:val="FFFFFF" w:themeColor="background1"/>
              </w:rPr>
            </w:pPr>
            <w:r>
              <w:rPr>
                <w:bCs/>
                <w:color w:val="FFFFFF" w:themeColor="background1"/>
              </w:rPr>
              <w:t>Total mileage travelled daily (km)</w:t>
            </w:r>
          </w:p>
        </w:tc>
      </w:tr>
      <w:tr w:rsidR="00CE3C47" w:rsidRPr="002A53BD" w14:paraId="380DF76F" w14:textId="333B1476" w:rsidTr="00DF643F">
        <w:trPr>
          <w:trHeight w:val="880"/>
        </w:trPr>
        <w:tc>
          <w:tcPr>
            <w:cnfStyle w:val="001000000000" w:firstRow="0" w:lastRow="0" w:firstColumn="1" w:lastColumn="0" w:oddVBand="0" w:evenVBand="0" w:oddHBand="0" w:evenHBand="0" w:firstRowFirstColumn="0" w:firstRowLastColumn="0" w:lastRowFirstColumn="0" w:lastRowLastColumn="0"/>
            <w:tcW w:w="692" w:type="pct"/>
          </w:tcPr>
          <w:p w14:paraId="4166893F" w14:textId="3DA56FBC" w:rsidR="00CE3C47" w:rsidRPr="00DF643F" w:rsidRDefault="00CE3C47" w:rsidP="00EA12D8">
            <w:pPr>
              <w:spacing w:before="0" w:after="0" w:line="240" w:lineRule="auto"/>
              <w:rPr>
                <w:rFonts w:eastAsia="Times New Roman" w:cs="Arial"/>
                <w:sz w:val="22"/>
                <w:szCs w:val="22"/>
                <w:vertAlign w:val="superscript"/>
                <w:lang w:val="en-US" w:eastAsia="zh-CN"/>
              </w:rPr>
            </w:pPr>
            <w:r>
              <w:rPr>
                <w:rFonts w:eastAsia="Times New Roman" w:cs="Arial"/>
                <w:sz w:val="22"/>
                <w:szCs w:val="22"/>
                <w:lang w:val="en-US" w:eastAsia="zh-CN"/>
              </w:rPr>
              <w:t>3.7</w:t>
            </w:r>
            <w:r>
              <w:rPr>
                <w:rFonts w:eastAsia="Times New Roman" w:cs="Arial"/>
                <w:sz w:val="22"/>
                <w:szCs w:val="22"/>
                <w:vertAlign w:val="superscript"/>
                <w:lang w:val="en-US" w:eastAsia="zh-CN"/>
              </w:rPr>
              <w:t>1</w:t>
            </w:r>
          </w:p>
        </w:tc>
        <w:tc>
          <w:tcPr>
            <w:tcW w:w="1077" w:type="pct"/>
          </w:tcPr>
          <w:p w14:paraId="15AC1A85" w14:textId="005E0358" w:rsidR="00CE3C47" w:rsidRPr="00CE3C47" w:rsidRDefault="00CE3C47" w:rsidP="00EA12D8">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22"/>
                <w:szCs w:val="22"/>
                <w:vertAlign w:val="superscript"/>
                <w:lang w:val="en-US" w:eastAsia="zh-CN"/>
              </w:rPr>
            </w:pPr>
            <w:r>
              <w:rPr>
                <w:rFonts w:eastAsia="Times New Roman" w:cs="Arial"/>
                <w:sz w:val="22"/>
                <w:szCs w:val="22"/>
                <w:lang w:val="en-US" w:eastAsia="zh-CN"/>
              </w:rPr>
              <w:t>37</w:t>
            </w:r>
            <w:r>
              <w:rPr>
                <w:rFonts w:eastAsia="Times New Roman" w:cs="Arial"/>
                <w:sz w:val="22"/>
                <w:szCs w:val="22"/>
                <w:vertAlign w:val="superscript"/>
                <w:lang w:val="en-US" w:eastAsia="zh-CN"/>
              </w:rPr>
              <w:t>1</w:t>
            </w:r>
          </w:p>
        </w:tc>
        <w:tc>
          <w:tcPr>
            <w:tcW w:w="1077" w:type="pct"/>
          </w:tcPr>
          <w:p w14:paraId="068211A0" w14:textId="38FFA771" w:rsidR="00CE3C47" w:rsidRPr="00633FA7" w:rsidRDefault="00CE3C47" w:rsidP="00EA12D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114.1</w:t>
            </w:r>
            <w:r w:rsidR="00633FA7">
              <w:rPr>
                <w:rFonts w:cs="Arial"/>
                <w:sz w:val="22"/>
                <w:szCs w:val="22"/>
                <w:vertAlign w:val="superscript"/>
                <w:lang w:val="en-US" w:eastAsia="zh-CN"/>
              </w:rPr>
              <w:t>2</w:t>
            </w:r>
          </w:p>
        </w:tc>
        <w:tc>
          <w:tcPr>
            <w:tcW w:w="1077" w:type="pct"/>
          </w:tcPr>
          <w:p w14:paraId="46EAC82B" w14:textId="42C77EE8" w:rsidR="00CE3C47" w:rsidRPr="00DF643F" w:rsidRDefault="00CE3C47" w:rsidP="00EA12D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vertAlign w:val="superscript"/>
                <w:lang w:val="en-US" w:eastAsia="zh-CN"/>
              </w:rPr>
            </w:pPr>
            <w:r>
              <w:rPr>
                <w:rFonts w:cs="Arial"/>
                <w:sz w:val="22"/>
                <w:szCs w:val="22"/>
                <w:lang w:val="en-US" w:eastAsia="zh-CN"/>
              </w:rPr>
              <w:t>0.21028</w:t>
            </w:r>
            <w:r w:rsidR="00633FA7">
              <w:rPr>
                <w:rFonts w:cs="Arial"/>
                <w:sz w:val="22"/>
                <w:szCs w:val="22"/>
                <w:vertAlign w:val="superscript"/>
                <w:lang w:val="en-US" w:eastAsia="zh-CN"/>
              </w:rPr>
              <w:t>3</w:t>
            </w:r>
          </w:p>
        </w:tc>
        <w:tc>
          <w:tcPr>
            <w:tcW w:w="1077" w:type="pct"/>
          </w:tcPr>
          <w:p w14:paraId="7C8CCE9D" w14:textId="4BCC20DC" w:rsidR="00CE3C47" w:rsidRDefault="00CE3C47" w:rsidP="00EA12D8">
            <w:pPr>
              <w:spacing w:before="0" w:after="0" w:line="240" w:lineRule="auto"/>
              <w:cnfStyle w:val="000000000000" w:firstRow="0" w:lastRow="0" w:firstColumn="0" w:lastColumn="0" w:oddVBand="0" w:evenVBand="0" w:oddHBand="0" w:evenHBand="0" w:firstRowFirstColumn="0" w:firstRowLastColumn="0" w:lastRowFirstColumn="0" w:lastRowLastColumn="0"/>
              <w:rPr>
                <w:rFonts w:cs="Arial"/>
                <w:sz w:val="22"/>
                <w:szCs w:val="22"/>
                <w:lang w:val="en-US" w:eastAsia="zh-CN"/>
              </w:rPr>
            </w:pPr>
            <w:r>
              <w:rPr>
                <w:rFonts w:cs="Arial"/>
                <w:sz w:val="22"/>
                <w:szCs w:val="22"/>
                <w:lang w:val="en-US" w:eastAsia="zh-CN"/>
              </w:rPr>
              <w:t>542.5</w:t>
            </w:r>
          </w:p>
        </w:tc>
      </w:tr>
      <w:tr w:rsidR="00CE3C47" w:rsidRPr="002A53BD" w14:paraId="7421BC28" w14:textId="40DF5A21" w:rsidTr="00DF643F">
        <w:trPr>
          <w:trHeight w:val="60"/>
        </w:trPr>
        <w:tc>
          <w:tcPr>
            <w:cnfStyle w:val="001000000000" w:firstRow="0" w:lastRow="0" w:firstColumn="1" w:lastColumn="0" w:oddVBand="0" w:evenVBand="0" w:oddHBand="0" w:evenHBand="0" w:firstRowFirstColumn="0" w:firstRowLastColumn="0" w:lastRowFirstColumn="0" w:lastRowLastColumn="0"/>
            <w:tcW w:w="0" w:type="pct"/>
            <w:gridSpan w:val="5"/>
          </w:tcPr>
          <w:p w14:paraId="6BBD94E2" w14:textId="17857C79" w:rsidR="00CE3C47" w:rsidRDefault="00CE3C47" w:rsidP="00EA12D8">
            <w:pPr>
              <w:spacing w:before="0" w:after="0" w:line="240" w:lineRule="auto"/>
              <w:jc w:val="left"/>
              <w:rPr>
                <w:sz w:val="22"/>
                <w:szCs w:val="22"/>
              </w:rPr>
            </w:pPr>
            <w:r w:rsidRPr="00EA12D8">
              <w:rPr>
                <w:rFonts w:cs="Arial"/>
                <w:b/>
                <w:bCs/>
                <w:sz w:val="22"/>
                <w:szCs w:val="22"/>
                <w:lang w:val="en-US" w:eastAsia="zh-CN"/>
              </w:rPr>
              <w:t xml:space="preserve">Note: </w:t>
            </w:r>
            <w:r>
              <w:rPr>
                <w:rFonts w:cs="Arial"/>
                <w:sz w:val="22"/>
                <w:szCs w:val="22"/>
                <w:vertAlign w:val="superscript"/>
                <w:lang w:val="en-US" w:eastAsia="zh-CN"/>
              </w:rPr>
              <w:t>1</w:t>
            </w:r>
            <w:r>
              <w:t xml:space="preserve"> </w:t>
            </w:r>
            <w:r w:rsidRPr="00DF643F">
              <w:rPr>
                <w:sz w:val="22"/>
                <w:szCs w:val="22"/>
              </w:rPr>
              <w:t>Zapmap (2025)</w:t>
            </w:r>
            <w:r w:rsidR="007F2DF4">
              <w:rPr>
                <w:sz w:val="22"/>
                <w:szCs w:val="22"/>
              </w:rPr>
              <w:t>.</w:t>
            </w:r>
            <w:r w:rsidRPr="00DF643F">
              <w:rPr>
                <w:sz w:val="22"/>
                <w:szCs w:val="22"/>
              </w:rPr>
              <w:t xml:space="preserve"> Public charge point utilisation. Available at: </w:t>
            </w:r>
            <w:hyperlink r:id="rId49" w:history="1">
              <w:r w:rsidRPr="00DF643F">
                <w:rPr>
                  <w:rStyle w:val="Hyperlink"/>
                  <w:sz w:val="22"/>
                  <w:szCs w:val="22"/>
                </w:rPr>
                <w:t>Public charge point utilisation - Zapmap</w:t>
              </w:r>
            </w:hyperlink>
          </w:p>
          <w:p w14:paraId="4E44A7E1" w14:textId="08379CC7" w:rsidR="00633FA7" w:rsidRPr="00633FA7" w:rsidRDefault="00633FA7" w:rsidP="00EA12D8">
            <w:pPr>
              <w:spacing w:before="0" w:after="0" w:line="240" w:lineRule="auto"/>
              <w:jc w:val="left"/>
              <w:rPr>
                <w:rFonts w:cs="Arial"/>
                <w:bCs/>
                <w:sz w:val="22"/>
                <w:szCs w:val="22"/>
                <w:lang w:val="en-US" w:eastAsia="zh-CN"/>
              </w:rPr>
            </w:pPr>
            <w:r>
              <w:rPr>
                <w:rFonts w:cs="Arial"/>
                <w:bCs/>
                <w:sz w:val="22"/>
                <w:szCs w:val="22"/>
                <w:vertAlign w:val="superscript"/>
                <w:lang w:val="en-US" w:eastAsia="zh-CN"/>
              </w:rPr>
              <w:t xml:space="preserve">2 </w:t>
            </w:r>
            <w:r>
              <w:rPr>
                <w:rFonts w:cs="Arial"/>
                <w:bCs/>
                <w:sz w:val="22"/>
                <w:szCs w:val="22"/>
                <w:lang w:val="en-US" w:eastAsia="zh-CN"/>
              </w:rPr>
              <w:t>This provides a bottom-end estimate as 50 kWh output was used for the calculation. However, ultra rapid chargers can output up to 150 kWh.</w:t>
            </w:r>
          </w:p>
          <w:p w14:paraId="3C497F09" w14:textId="11FB68FB" w:rsidR="00CE3C47" w:rsidRDefault="00633FA7" w:rsidP="00CE3C47">
            <w:pPr>
              <w:spacing w:before="0" w:after="0" w:line="240" w:lineRule="auto"/>
              <w:jc w:val="left"/>
              <w:rPr>
                <w:rFonts w:cs="Arial"/>
                <w:sz w:val="22"/>
                <w:szCs w:val="22"/>
                <w:lang w:val="en-US" w:eastAsia="zh-CN"/>
              </w:rPr>
            </w:pPr>
            <w:r>
              <w:rPr>
                <w:rFonts w:cs="Arial"/>
                <w:sz w:val="22"/>
                <w:szCs w:val="22"/>
                <w:vertAlign w:val="superscript"/>
                <w:lang w:val="en-US" w:eastAsia="zh-CN"/>
              </w:rPr>
              <w:t xml:space="preserve">3 </w:t>
            </w:r>
            <w:r w:rsidR="00CE3C47">
              <w:rPr>
                <w:rFonts w:cs="Arial"/>
                <w:sz w:val="22"/>
                <w:szCs w:val="22"/>
                <w:lang w:val="en-US" w:eastAsia="zh-CN"/>
              </w:rPr>
              <w:t>Department for Energy Security and Net Zero (2024)</w:t>
            </w:r>
            <w:r w:rsidR="007F2DF4">
              <w:rPr>
                <w:rFonts w:cs="Arial"/>
                <w:sz w:val="22"/>
                <w:szCs w:val="22"/>
                <w:lang w:val="en-US" w:eastAsia="zh-CN"/>
              </w:rPr>
              <w:t>.</w:t>
            </w:r>
            <w:r w:rsidR="00CE3C47">
              <w:rPr>
                <w:rFonts w:cs="Arial"/>
                <w:sz w:val="22"/>
                <w:szCs w:val="22"/>
                <w:lang w:val="en-US" w:eastAsia="zh-CN"/>
              </w:rPr>
              <w:t xml:space="preserve"> Greenhouse gas reporting: conversion factors 2024. Available at: </w:t>
            </w:r>
            <w:hyperlink r:id="rId50" w:history="1">
              <w:r w:rsidR="00CE3C47" w:rsidRPr="00CE3C47">
                <w:rPr>
                  <w:rStyle w:val="Hyperlink"/>
                  <w:rFonts w:cs="Arial"/>
                  <w:sz w:val="22"/>
                  <w:szCs w:val="22"/>
                  <w:lang w:eastAsia="zh-CN"/>
                </w:rPr>
                <w:t>Greenhouse gas reporting: conversion factors 2024 - GOV.UK</w:t>
              </w:r>
            </w:hyperlink>
          </w:p>
          <w:p w14:paraId="5391743C" w14:textId="335F9661" w:rsidR="00633FA7" w:rsidRPr="00EA12D8" w:rsidRDefault="00633FA7" w:rsidP="00DF643F">
            <w:pPr>
              <w:spacing w:before="0" w:after="0" w:line="240" w:lineRule="auto"/>
              <w:jc w:val="left"/>
              <w:rPr>
                <w:rFonts w:cs="Arial"/>
                <w:b/>
                <w:bCs/>
                <w:sz w:val="22"/>
                <w:szCs w:val="22"/>
                <w:lang w:val="en-US" w:eastAsia="zh-CN"/>
              </w:rPr>
            </w:pPr>
          </w:p>
        </w:tc>
      </w:tr>
    </w:tbl>
    <w:p w14:paraId="23C90EF7" w14:textId="2DB9B48B" w:rsidR="00627A74" w:rsidRDefault="00627A74" w:rsidP="00F630B6">
      <w:pPr>
        <w:pStyle w:val="Heading2"/>
      </w:pPr>
      <w:r>
        <w:t xml:space="preserve"> </w:t>
      </w:r>
      <w:bookmarkStart w:id="150" w:name="_Toc222131887"/>
      <w:r>
        <w:t>Overall Quantification</w:t>
      </w:r>
      <w:bookmarkEnd w:id="150"/>
    </w:p>
    <w:p w14:paraId="39095BBD" w14:textId="1CC8B901" w:rsidR="0010687E" w:rsidRDefault="00627A74" w:rsidP="0005447E">
      <w:r>
        <w:t xml:space="preserve">Newcastle City Council </w:t>
      </w:r>
      <w:r w:rsidR="0096440F">
        <w:t>expects</w:t>
      </w:r>
      <w:r>
        <w:t xml:space="preserve"> that</w:t>
      </w:r>
      <w:r w:rsidR="0096440F">
        <w:t xml:space="preserve"> overall, with full implementation of the plan that compliance will be achieved in 2026. </w:t>
      </w:r>
    </w:p>
    <w:p w14:paraId="203B94D2" w14:textId="583D0C2F" w:rsidR="0010687E" w:rsidRDefault="0010687E" w:rsidP="0005447E">
      <w:pPr>
        <w:sectPr w:rsidR="0010687E" w:rsidSect="002D2F62">
          <w:footerReference w:type="default" r:id="rId51"/>
          <w:pgSz w:w="11906" w:h="16838" w:code="9"/>
          <w:pgMar w:top="1474" w:right="1418" w:bottom="1134" w:left="1418" w:header="964" w:footer="454" w:gutter="0"/>
          <w:cols w:space="708"/>
          <w:docGrid w:linePitch="360"/>
        </w:sectPr>
      </w:pPr>
    </w:p>
    <w:p w14:paraId="6E7BA230" w14:textId="77777777" w:rsidR="007A3C20" w:rsidRPr="00DB4AF1" w:rsidRDefault="007A3C20" w:rsidP="000E0C77">
      <w:pPr>
        <w:pStyle w:val="appendix"/>
        <w:numPr>
          <w:ilvl w:val="0"/>
          <w:numId w:val="0"/>
        </w:numPr>
        <w:ind w:left="3"/>
      </w:pPr>
      <w:bookmarkStart w:id="151" w:name="_Ref88488212"/>
      <w:bookmarkStart w:id="152" w:name="_Toc141346900"/>
      <w:bookmarkStart w:id="153" w:name="_Toc222131888"/>
      <w:r w:rsidRPr="00DB4AF1">
        <w:lastRenderedPageBreak/>
        <w:t>Appendix A: Response to Consultation</w:t>
      </w:r>
      <w:bookmarkEnd w:id="151"/>
      <w:bookmarkEnd w:id="152"/>
      <w:bookmarkEnd w:id="153"/>
    </w:p>
    <w:p w14:paraId="180A06C6" w14:textId="77777777" w:rsidR="007A3C20" w:rsidRPr="00E3664B" w:rsidRDefault="007A3C20" w:rsidP="007A3C20">
      <w:pPr>
        <w:pStyle w:val="Caption"/>
      </w:pPr>
      <w:r w:rsidRPr="00E3664B">
        <w:t xml:space="preserve">Table A.1 </w:t>
      </w:r>
      <w:r w:rsidRPr="00BE428E">
        <w:t>‒</w:t>
      </w:r>
      <w:r w:rsidRPr="00E3664B">
        <w:t xml:space="preserve"> Summary of Responses to Consultation and Stakeholder Engagement on the AQAP</w:t>
      </w:r>
    </w:p>
    <w:tbl>
      <w:tblPr>
        <w:tblStyle w:val="LAQMReporting"/>
        <w:tblW w:w="0" w:type="auto"/>
        <w:tblLook w:val="04A0" w:firstRow="1" w:lastRow="0" w:firstColumn="1" w:lastColumn="0" w:noHBand="0" w:noVBand="1"/>
      </w:tblPr>
      <w:tblGrid>
        <w:gridCol w:w="2942"/>
        <w:gridCol w:w="2945"/>
        <w:gridCol w:w="8333"/>
      </w:tblGrid>
      <w:tr w:rsidR="007A3C20" w:rsidRPr="00E3664B" w14:paraId="4978BD02" w14:textId="77777777" w:rsidTr="004406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5" w:type="dxa"/>
          </w:tcPr>
          <w:p w14:paraId="53B28CCE" w14:textId="77777777" w:rsidR="007A3C20" w:rsidRPr="00442353" w:rsidRDefault="007A3C20" w:rsidP="004406B6">
            <w:pPr>
              <w:rPr>
                <w:bCs/>
              </w:rPr>
            </w:pPr>
            <w:r w:rsidRPr="00442353">
              <w:rPr>
                <w:bCs/>
              </w:rPr>
              <w:t>Consultee</w:t>
            </w:r>
          </w:p>
        </w:tc>
        <w:tc>
          <w:tcPr>
            <w:tcW w:w="2948" w:type="dxa"/>
          </w:tcPr>
          <w:p w14:paraId="03D0A17E" w14:textId="77777777" w:rsidR="007A3C20" w:rsidRPr="00442353" w:rsidRDefault="007A3C20" w:rsidP="004406B6">
            <w:pPr>
              <w:cnfStyle w:val="100000000000" w:firstRow="1" w:lastRow="0" w:firstColumn="0" w:lastColumn="0" w:oddVBand="0" w:evenVBand="0" w:oddHBand="0" w:evenHBand="0" w:firstRowFirstColumn="0" w:firstRowLastColumn="0" w:lastRowFirstColumn="0" w:lastRowLastColumn="0"/>
              <w:rPr>
                <w:bCs/>
              </w:rPr>
            </w:pPr>
            <w:r w:rsidRPr="00442353">
              <w:rPr>
                <w:bCs/>
              </w:rPr>
              <w:t>Category</w:t>
            </w:r>
          </w:p>
        </w:tc>
        <w:tc>
          <w:tcPr>
            <w:tcW w:w="8347" w:type="dxa"/>
          </w:tcPr>
          <w:p w14:paraId="75D00C67" w14:textId="77777777" w:rsidR="007A3C20" w:rsidRPr="00442353" w:rsidRDefault="007A3C20" w:rsidP="004406B6">
            <w:pPr>
              <w:cnfStyle w:val="100000000000" w:firstRow="1" w:lastRow="0" w:firstColumn="0" w:lastColumn="0" w:oddVBand="0" w:evenVBand="0" w:oddHBand="0" w:evenHBand="0" w:firstRowFirstColumn="0" w:firstRowLastColumn="0" w:lastRowFirstColumn="0" w:lastRowLastColumn="0"/>
              <w:rPr>
                <w:bCs/>
              </w:rPr>
            </w:pPr>
            <w:r w:rsidRPr="00442353">
              <w:rPr>
                <w:bCs/>
              </w:rPr>
              <w:t>Response</w:t>
            </w:r>
          </w:p>
        </w:tc>
      </w:tr>
      <w:tr w:rsidR="007A3C20" w:rsidRPr="00E3664B" w14:paraId="54BB778D" w14:textId="77777777" w:rsidTr="004406B6">
        <w:tc>
          <w:tcPr>
            <w:cnfStyle w:val="001000000000" w:firstRow="0" w:lastRow="0" w:firstColumn="1" w:lastColumn="0" w:oddVBand="0" w:evenVBand="0" w:oddHBand="0" w:evenHBand="0" w:firstRowFirstColumn="0" w:firstRowLastColumn="0" w:lastRowFirstColumn="0" w:lastRowLastColumn="0"/>
            <w:tcW w:w="2945" w:type="dxa"/>
          </w:tcPr>
          <w:p w14:paraId="37F7DDA7" w14:textId="7FBA7889" w:rsidR="007A3C20" w:rsidRPr="00E3664B" w:rsidRDefault="007A3C20" w:rsidP="004406B6">
            <w:pPr>
              <w:spacing w:before="60" w:after="60"/>
              <w:rPr>
                <w:color w:val="FF0000"/>
              </w:rPr>
            </w:pPr>
            <w:r>
              <w:rPr>
                <w:color w:val="FF0000"/>
              </w:rPr>
              <w:t>&lt;Insert consultee&gt;</w:t>
            </w:r>
          </w:p>
        </w:tc>
        <w:tc>
          <w:tcPr>
            <w:tcW w:w="2948" w:type="dxa"/>
          </w:tcPr>
          <w:p w14:paraId="3AFF2709" w14:textId="47F2FC12" w:rsidR="007A3C20" w:rsidRPr="00E3664B" w:rsidRDefault="007A3C20" w:rsidP="004406B6">
            <w:pPr>
              <w:spacing w:before="60" w:after="60"/>
              <w:cnfStyle w:val="000000000000" w:firstRow="0" w:lastRow="0" w:firstColumn="0" w:lastColumn="0" w:oddVBand="0" w:evenVBand="0" w:oddHBand="0" w:evenHBand="0" w:firstRowFirstColumn="0" w:firstRowLastColumn="0" w:lastRowFirstColumn="0" w:lastRowLastColumn="0"/>
              <w:rPr>
                <w:color w:val="FF0000"/>
              </w:rPr>
            </w:pPr>
            <w:r>
              <w:rPr>
                <w:color w:val="FF0000"/>
              </w:rPr>
              <w:t>&lt;Insert category&gt;</w:t>
            </w:r>
          </w:p>
        </w:tc>
        <w:tc>
          <w:tcPr>
            <w:tcW w:w="8347" w:type="dxa"/>
          </w:tcPr>
          <w:p w14:paraId="6989562A" w14:textId="7D8F9D61" w:rsidR="007A3C20" w:rsidRPr="00E3664B" w:rsidRDefault="007A3C20" w:rsidP="004406B6">
            <w:pPr>
              <w:spacing w:before="60" w:after="60"/>
              <w:cnfStyle w:val="000000000000" w:firstRow="0" w:lastRow="0" w:firstColumn="0" w:lastColumn="0" w:oddVBand="0" w:evenVBand="0" w:oddHBand="0" w:evenHBand="0" w:firstRowFirstColumn="0" w:firstRowLastColumn="0" w:lastRowFirstColumn="0" w:lastRowLastColumn="0"/>
              <w:rPr>
                <w:color w:val="FF0000"/>
              </w:rPr>
            </w:pPr>
            <w:r>
              <w:rPr>
                <w:color w:val="FF0000"/>
              </w:rPr>
              <w:t>&lt;Insert text&gt;</w:t>
            </w:r>
          </w:p>
        </w:tc>
      </w:tr>
      <w:tr w:rsidR="007A3C20" w:rsidRPr="00E3664B" w14:paraId="0B54F0D9" w14:textId="77777777" w:rsidTr="004406B6">
        <w:tc>
          <w:tcPr>
            <w:cnfStyle w:val="001000000000" w:firstRow="0" w:lastRow="0" w:firstColumn="1" w:lastColumn="0" w:oddVBand="0" w:evenVBand="0" w:oddHBand="0" w:evenHBand="0" w:firstRowFirstColumn="0" w:firstRowLastColumn="0" w:lastRowFirstColumn="0" w:lastRowLastColumn="0"/>
            <w:tcW w:w="2945" w:type="dxa"/>
          </w:tcPr>
          <w:p w14:paraId="36E64473" w14:textId="77777777" w:rsidR="007A3C20" w:rsidRPr="00E3664B" w:rsidRDefault="007A3C20" w:rsidP="004406B6">
            <w:pPr>
              <w:spacing w:before="60" w:after="60"/>
            </w:pPr>
          </w:p>
        </w:tc>
        <w:tc>
          <w:tcPr>
            <w:tcW w:w="2948" w:type="dxa"/>
          </w:tcPr>
          <w:p w14:paraId="3ADCBCA8" w14:textId="77777777" w:rsidR="007A3C20" w:rsidRPr="00E3664B" w:rsidRDefault="007A3C20" w:rsidP="004406B6">
            <w:pPr>
              <w:spacing w:before="60" w:after="60"/>
              <w:cnfStyle w:val="000000000000" w:firstRow="0" w:lastRow="0" w:firstColumn="0" w:lastColumn="0" w:oddVBand="0" w:evenVBand="0" w:oddHBand="0" w:evenHBand="0" w:firstRowFirstColumn="0" w:firstRowLastColumn="0" w:lastRowFirstColumn="0" w:lastRowLastColumn="0"/>
            </w:pPr>
          </w:p>
        </w:tc>
        <w:tc>
          <w:tcPr>
            <w:tcW w:w="8347" w:type="dxa"/>
          </w:tcPr>
          <w:p w14:paraId="413E3A72" w14:textId="77777777" w:rsidR="007A3C20" w:rsidRPr="00E3664B" w:rsidRDefault="007A3C20" w:rsidP="004406B6">
            <w:pPr>
              <w:spacing w:before="60" w:after="60"/>
              <w:cnfStyle w:val="000000000000" w:firstRow="0" w:lastRow="0" w:firstColumn="0" w:lastColumn="0" w:oddVBand="0" w:evenVBand="0" w:oddHBand="0" w:evenHBand="0" w:firstRowFirstColumn="0" w:firstRowLastColumn="0" w:lastRowFirstColumn="0" w:lastRowLastColumn="0"/>
            </w:pPr>
          </w:p>
        </w:tc>
      </w:tr>
    </w:tbl>
    <w:p w14:paraId="239916E9" w14:textId="77777777" w:rsidR="008D2160" w:rsidRDefault="008D2160" w:rsidP="0005447E">
      <w:pPr>
        <w:sectPr w:rsidR="008D2160" w:rsidSect="002B4B5B">
          <w:footerReference w:type="default" r:id="rId52"/>
          <w:pgSz w:w="16838" w:h="11906" w:orient="landscape" w:code="9"/>
          <w:pgMar w:top="1418" w:right="1474" w:bottom="1418" w:left="1134" w:header="964" w:footer="454" w:gutter="0"/>
          <w:cols w:space="708"/>
          <w:docGrid w:linePitch="360"/>
        </w:sectPr>
      </w:pPr>
    </w:p>
    <w:p w14:paraId="4310BDD7" w14:textId="77777777" w:rsidR="003671ED" w:rsidRPr="00E3664B" w:rsidRDefault="003671ED" w:rsidP="000E0C77">
      <w:pPr>
        <w:pStyle w:val="appendix"/>
        <w:numPr>
          <w:ilvl w:val="0"/>
          <w:numId w:val="0"/>
        </w:numPr>
        <w:ind w:left="3"/>
      </w:pPr>
      <w:bookmarkStart w:id="154" w:name="_Toc418595849"/>
      <w:bookmarkStart w:id="155" w:name="_Toc88486006"/>
      <w:bookmarkStart w:id="156" w:name="_Toc141346901"/>
      <w:bookmarkStart w:id="157" w:name="_Toc222131889"/>
      <w:r w:rsidRPr="00E3664B">
        <w:lastRenderedPageBreak/>
        <w:t>Appendix B</w:t>
      </w:r>
      <w:r w:rsidR="007512B5">
        <w:t>:</w:t>
      </w:r>
      <w:r w:rsidRPr="00E3664B">
        <w:t xml:space="preserve"> Reasons for Not Pursuing Action Plan Measures</w:t>
      </w:r>
      <w:bookmarkEnd w:id="154"/>
      <w:bookmarkEnd w:id="155"/>
      <w:bookmarkEnd w:id="156"/>
      <w:bookmarkEnd w:id="157"/>
    </w:p>
    <w:p w14:paraId="744FA8BC" w14:textId="1899CDF1" w:rsidR="003671ED" w:rsidRPr="00E3664B" w:rsidRDefault="003671ED" w:rsidP="0046508E">
      <w:pPr>
        <w:pStyle w:val="Caption"/>
      </w:pPr>
      <w:bookmarkStart w:id="158" w:name="_Toc418595853"/>
      <w:r w:rsidRPr="00E3664B">
        <w:t xml:space="preserve">Table B.1 </w:t>
      </w:r>
      <w:r w:rsidR="00BE428E" w:rsidRPr="00BE428E">
        <w:t>‒</w:t>
      </w:r>
      <w:r w:rsidRPr="00E3664B">
        <w:t xml:space="preserve"> Action Plan Measures Not Pursued and the Reasons for that Decision</w:t>
      </w:r>
      <w:bookmarkStart w:id="159" w:name="_Toc149629790"/>
      <w:bookmarkStart w:id="160" w:name="_Toc149633777"/>
      <w:bookmarkStart w:id="161" w:name="_Toc72901079"/>
      <w:bookmarkEnd w:id="158"/>
    </w:p>
    <w:tbl>
      <w:tblPr>
        <w:tblStyle w:val="LAQMReporting"/>
        <w:tblW w:w="4883" w:type="pct"/>
        <w:tblLayout w:type="fixed"/>
        <w:tblLook w:val="04A0" w:firstRow="1" w:lastRow="0" w:firstColumn="1" w:lastColumn="0" w:noHBand="0" w:noVBand="1"/>
      </w:tblPr>
      <w:tblGrid>
        <w:gridCol w:w="4673"/>
        <w:gridCol w:w="3969"/>
        <w:gridCol w:w="5245"/>
      </w:tblGrid>
      <w:tr w:rsidR="00243F6E" w:rsidRPr="00E3664B" w14:paraId="547D477E" w14:textId="77777777" w:rsidTr="003577E7">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4673" w:type="dxa"/>
          </w:tcPr>
          <w:p w14:paraId="2F092703" w14:textId="77777777" w:rsidR="003671ED" w:rsidRPr="00442353" w:rsidRDefault="003671ED" w:rsidP="0046508E">
            <w:pPr>
              <w:ind w:left="-57" w:right="-57"/>
              <w:rPr>
                <w:bCs/>
              </w:rPr>
            </w:pPr>
            <w:r w:rsidRPr="00442353">
              <w:rPr>
                <w:bCs/>
              </w:rPr>
              <w:t>Action category</w:t>
            </w:r>
          </w:p>
        </w:tc>
        <w:tc>
          <w:tcPr>
            <w:tcW w:w="3969" w:type="dxa"/>
          </w:tcPr>
          <w:p w14:paraId="0D2A7B87" w14:textId="77777777" w:rsidR="003671ED" w:rsidRPr="00442353" w:rsidRDefault="003671ED" w:rsidP="0046508E">
            <w:pPr>
              <w:ind w:left="-57" w:right="-57"/>
              <w:cnfStyle w:val="100000000000" w:firstRow="1" w:lastRow="0" w:firstColumn="0" w:lastColumn="0" w:oddVBand="0" w:evenVBand="0" w:oddHBand="0" w:evenHBand="0" w:firstRowFirstColumn="0" w:firstRowLastColumn="0" w:lastRowFirstColumn="0" w:lastRowLastColumn="0"/>
              <w:rPr>
                <w:bCs/>
              </w:rPr>
            </w:pPr>
            <w:r w:rsidRPr="00442353">
              <w:rPr>
                <w:bCs/>
              </w:rPr>
              <w:t>Action description</w:t>
            </w:r>
          </w:p>
        </w:tc>
        <w:tc>
          <w:tcPr>
            <w:tcW w:w="5245" w:type="dxa"/>
          </w:tcPr>
          <w:p w14:paraId="31D1B0ED" w14:textId="77777777" w:rsidR="003671ED" w:rsidRPr="00442353" w:rsidRDefault="003671ED" w:rsidP="003577E7">
            <w:pPr>
              <w:ind w:left="149" w:right="-57"/>
              <w:cnfStyle w:val="100000000000" w:firstRow="1" w:lastRow="0" w:firstColumn="0" w:lastColumn="0" w:oddVBand="0" w:evenVBand="0" w:oddHBand="0" w:evenHBand="0" w:firstRowFirstColumn="0" w:firstRowLastColumn="0" w:lastRowFirstColumn="0" w:lastRowLastColumn="0"/>
              <w:rPr>
                <w:bCs/>
              </w:rPr>
            </w:pPr>
            <w:r w:rsidRPr="00442353">
              <w:rPr>
                <w:bCs/>
              </w:rPr>
              <w:t>Reason action is not being pursued (including Stakeholder views)</w:t>
            </w:r>
          </w:p>
        </w:tc>
      </w:tr>
      <w:tr w:rsidR="00284FF9" w:rsidRPr="00A17571" w14:paraId="6EEE26A0"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7298A4A6" w14:textId="77777777" w:rsidR="00284FF9" w:rsidRPr="00A17571" w:rsidRDefault="00284FF9" w:rsidP="000D1508">
            <w:pPr>
              <w:spacing w:before="60" w:after="60"/>
              <w:jc w:val="left"/>
            </w:pPr>
            <w:r>
              <w:t>Traffic Management</w:t>
            </w:r>
          </w:p>
        </w:tc>
        <w:tc>
          <w:tcPr>
            <w:tcW w:w="3969" w:type="dxa"/>
          </w:tcPr>
          <w:p w14:paraId="64F17601"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t>P</w:t>
            </w:r>
            <w:r w:rsidRPr="00A17571">
              <w:t>arking permits</w:t>
            </w:r>
            <w:r>
              <w:t xml:space="preserve"> and enforcement</w:t>
            </w:r>
          </w:p>
        </w:tc>
        <w:tc>
          <w:tcPr>
            <w:tcW w:w="5245" w:type="dxa"/>
          </w:tcPr>
          <w:p w14:paraId="1E48EE64"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097C11">
              <w:t xml:space="preserve">18,000 residents/visitor parking permits </w:t>
            </w:r>
            <w:r>
              <w:t xml:space="preserve">have been </w:t>
            </w:r>
            <w:r w:rsidRPr="00097C11">
              <w:t>issued</w:t>
            </w:r>
            <w:r>
              <w:t>. The Council holds parking enforcement powers. However, b</w:t>
            </w:r>
            <w:r w:rsidRPr="00A17571">
              <w:t>enefits on air quality are</w:t>
            </w:r>
            <w:r>
              <w:t xml:space="preserve"> likely to be small and are</w:t>
            </w:r>
            <w:r w:rsidRPr="00A17571">
              <w:t xml:space="preserve"> difficult to quantify</w:t>
            </w:r>
            <w:r>
              <w:t>.</w:t>
            </w:r>
          </w:p>
        </w:tc>
      </w:tr>
      <w:tr w:rsidR="00284FF9" w:rsidRPr="00A17571" w14:paraId="29E6B8D4"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414CC016" w14:textId="77777777" w:rsidR="00284FF9" w:rsidRPr="00A17571" w:rsidRDefault="00284FF9" w:rsidP="000D1508">
            <w:pPr>
              <w:spacing w:before="60" w:after="60"/>
              <w:jc w:val="left"/>
            </w:pPr>
            <w:r w:rsidRPr="00A17571">
              <w:t>Promoting Travel Alternatives</w:t>
            </w:r>
          </w:p>
        </w:tc>
        <w:tc>
          <w:tcPr>
            <w:tcW w:w="3969" w:type="dxa"/>
          </w:tcPr>
          <w:p w14:paraId="3871DE7D"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Park and Ride</w:t>
            </w:r>
          </w:p>
        </w:tc>
        <w:tc>
          <w:tcPr>
            <w:tcW w:w="5245" w:type="dxa"/>
          </w:tcPr>
          <w:p w14:paraId="03713ABB"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Park and Ride facilities are already provided at Metro Stations</w:t>
            </w:r>
          </w:p>
        </w:tc>
      </w:tr>
      <w:tr w:rsidR="00284FF9" w:rsidRPr="00A17571" w14:paraId="3F66FAE9"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134D6CE4" w14:textId="77777777" w:rsidR="00284FF9" w:rsidRPr="00A17571" w:rsidRDefault="00284FF9" w:rsidP="000D1508">
            <w:pPr>
              <w:spacing w:before="60" w:after="60"/>
              <w:jc w:val="left"/>
            </w:pPr>
            <w:r w:rsidRPr="00A17571">
              <w:t>Promoting Travel Alternatives</w:t>
            </w:r>
          </w:p>
        </w:tc>
        <w:tc>
          <w:tcPr>
            <w:tcW w:w="3969" w:type="dxa"/>
          </w:tcPr>
          <w:p w14:paraId="1C57326F"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t>Encourage/facilitate home working</w:t>
            </w:r>
          </w:p>
        </w:tc>
        <w:tc>
          <w:tcPr>
            <w:tcW w:w="5245" w:type="dxa"/>
          </w:tcPr>
          <w:p w14:paraId="58368A5D"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Since Covid-19 home working and flexible working hours are already occurring.</w:t>
            </w:r>
          </w:p>
        </w:tc>
      </w:tr>
      <w:tr w:rsidR="00284FF9" w:rsidRPr="00A17571" w14:paraId="58568B78"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6CB49069" w14:textId="77777777" w:rsidR="00284FF9" w:rsidRPr="00A17571" w:rsidRDefault="00284FF9" w:rsidP="000D1508">
            <w:pPr>
              <w:spacing w:before="60" w:after="60"/>
              <w:jc w:val="left"/>
            </w:pPr>
            <w:r w:rsidRPr="00A17571">
              <w:t xml:space="preserve">Vehicle Fleet Efficiency </w:t>
            </w:r>
          </w:p>
        </w:tc>
        <w:tc>
          <w:tcPr>
            <w:tcW w:w="3969" w:type="dxa"/>
          </w:tcPr>
          <w:p w14:paraId="66150F31"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Taxi Emissions</w:t>
            </w:r>
          </w:p>
        </w:tc>
        <w:tc>
          <w:tcPr>
            <w:tcW w:w="5245" w:type="dxa"/>
          </w:tcPr>
          <w:p w14:paraId="50F4BF2A"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Reducing the emissions of taxis is captured in the Clean Air Zone.</w:t>
            </w:r>
          </w:p>
        </w:tc>
      </w:tr>
      <w:tr w:rsidR="00284FF9" w:rsidRPr="00A17571" w14:paraId="21A155CA"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0B3152F0" w14:textId="77777777" w:rsidR="00284FF9" w:rsidRPr="00A17571" w:rsidRDefault="00284FF9" w:rsidP="000D1508">
            <w:pPr>
              <w:spacing w:before="60" w:after="60"/>
              <w:jc w:val="left"/>
            </w:pPr>
            <w:r w:rsidRPr="00A17571">
              <w:lastRenderedPageBreak/>
              <w:t>Vehicle Fleet Efficiency</w:t>
            </w:r>
          </w:p>
        </w:tc>
        <w:tc>
          <w:tcPr>
            <w:tcW w:w="3969" w:type="dxa"/>
          </w:tcPr>
          <w:p w14:paraId="7E477A94"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Eco driving training</w:t>
            </w:r>
          </w:p>
        </w:tc>
        <w:tc>
          <w:tcPr>
            <w:tcW w:w="5245" w:type="dxa"/>
          </w:tcPr>
          <w:p w14:paraId="17368537"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This measure would be unfunded with negligible benefits with regard to specific locations of concern.</w:t>
            </w:r>
          </w:p>
        </w:tc>
      </w:tr>
      <w:tr w:rsidR="00284FF9" w:rsidRPr="00A17571" w14:paraId="25F1B06C"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4564F2CF" w14:textId="77777777" w:rsidR="00284FF9" w:rsidRPr="00A17571" w:rsidRDefault="00284FF9" w:rsidP="000D1508">
            <w:pPr>
              <w:spacing w:before="60" w:after="60"/>
              <w:jc w:val="left"/>
            </w:pPr>
            <w:r w:rsidRPr="00A17571">
              <w:t>Freight and Delivery Management</w:t>
            </w:r>
          </w:p>
        </w:tc>
        <w:tc>
          <w:tcPr>
            <w:tcW w:w="3969" w:type="dxa"/>
          </w:tcPr>
          <w:p w14:paraId="4CC3D387"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Delivery times outside peak hour</w:t>
            </w:r>
          </w:p>
        </w:tc>
        <w:tc>
          <w:tcPr>
            <w:tcW w:w="5245" w:type="dxa"/>
          </w:tcPr>
          <w:p w14:paraId="0F96C434"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This is already implemented in some city centre locations. However, this action is likely to achieve negligible quantifiable benefits to local air quality.</w:t>
            </w:r>
          </w:p>
        </w:tc>
      </w:tr>
      <w:tr w:rsidR="00284FF9" w:rsidRPr="00A17571" w14:paraId="77D4DFD8"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4409D52F" w14:textId="77777777" w:rsidR="00284FF9" w:rsidRPr="00A17571" w:rsidRDefault="00284FF9" w:rsidP="000D1508">
            <w:pPr>
              <w:spacing w:before="60" w:after="60"/>
              <w:jc w:val="left"/>
            </w:pPr>
            <w:r w:rsidRPr="00A17571">
              <w:t xml:space="preserve">Traffic Management </w:t>
            </w:r>
          </w:p>
        </w:tc>
        <w:tc>
          <w:tcPr>
            <w:tcW w:w="3969" w:type="dxa"/>
          </w:tcPr>
          <w:p w14:paraId="48443D85"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Speed Restrictions</w:t>
            </w:r>
          </w:p>
        </w:tc>
        <w:tc>
          <w:tcPr>
            <w:tcW w:w="5245" w:type="dxa"/>
          </w:tcPr>
          <w:p w14:paraId="7CF90229"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t>Twenty’s Plenty advisory scheme already rolled out in selected areas. Further air quality benefits are likely to be very small.</w:t>
            </w:r>
          </w:p>
        </w:tc>
      </w:tr>
      <w:tr w:rsidR="00284FF9" w:rsidRPr="00A17571" w14:paraId="165CA4E5"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3C9C5289" w14:textId="77777777" w:rsidR="00284FF9" w:rsidRPr="00A17571" w:rsidRDefault="00284FF9" w:rsidP="000D1508">
            <w:pPr>
              <w:spacing w:before="60" w:after="60"/>
              <w:jc w:val="left"/>
            </w:pPr>
            <w:r w:rsidRPr="00A17571">
              <w:t>Traffic Management</w:t>
            </w:r>
          </w:p>
        </w:tc>
        <w:tc>
          <w:tcPr>
            <w:tcW w:w="3969" w:type="dxa"/>
          </w:tcPr>
          <w:p w14:paraId="54172F5B"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Closing roads to reduce congestion on Stephenson Road</w:t>
            </w:r>
          </w:p>
        </w:tc>
        <w:tc>
          <w:tcPr>
            <w:tcW w:w="5245" w:type="dxa"/>
          </w:tcPr>
          <w:p w14:paraId="18808AE1"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Roads / junctions cannot feasibly be closed for traffic without significant network impacts</w:t>
            </w:r>
          </w:p>
        </w:tc>
      </w:tr>
      <w:tr w:rsidR="00284FF9" w:rsidRPr="00A17571" w14:paraId="37A17213" w14:textId="77777777" w:rsidTr="00284FF9">
        <w:tc>
          <w:tcPr>
            <w:cnfStyle w:val="001000000000" w:firstRow="0" w:lastRow="0" w:firstColumn="1" w:lastColumn="0" w:oddVBand="0" w:evenVBand="0" w:oddHBand="0" w:evenHBand="0" w:firstRowFirstColumn="0" w:firstRowLastColumn="0" w:lastRowFirstColumn="0" w:lastRowLastColumn="0"/>
            <w:tcW w:w="4673" w:type="dxa"/>
          </w:tcPr>
          <w:p w14:paraId="7B2E9FC8" w14:textId="77777777" w:rsidR="00284FF9" w:rsidRPr="00A17571" w:rsidRDefault="00284FF9" w:rsidP="000D1508">
            <w:pPr>
              <w:spacing w:before="60" w:after="60"/>
              <w:jc w:val="left"/>
            </w:pPr>
            <w:r w:rsidRPr="00A17571">
              <w:t>Traffic Management</w:t>
            </w:r>
          </w:p>
        </w:tc>
        <w:tc>
          <w:tcPr>
            <w:tcW w:w="3969" w:type="dxa"/>
          </w:tcPr>
          <w:p w14:paraId="46B4BD82"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Gating traffic and traffic calming to manage traffic at hot spots</w:t>
            </w:r>
          </w:p>
        </w:tc>
        <w:tc>
          <w:tcPr>
            <w:tcW w:w="5245" w:type="dxa"/>
          </w:tcPr>
          <w:p w14:paraId="1ED6F5D3" w14:textId="77777777" w:rsidR="00284FF9" w:rsidRPr="00A17571" w:rsidRDefault="00284FF9" w:rsidP="000D1508">
            <w:pPr>
              <w:spacing w:before="60" w:after="60"/>
              <w:jc w:val="left"/>
              <w:cnfStyle w:val="000000000000" w:firstRow="0" w:lastRow="0" w:firstColumn="0" w:lastColumn="0" w:oddVBand="0" w:evenVBand="0" w:oddHBand="0" w:evenHBand="0" w:firstRowFirstColumn="0" w:firstRowLastColumn="0" w:lastRowFirstColumn="0" w:lastRowLastColumn="0"/>
            </w:pPr>
            <w:r w:rsidRPr="00A17571">
              <w:t>Limited opportunity to gate traffic due to risk of creating emissions hot spots elsewhere</w:t>
            </w:r>
          </w:p>
        </w:tc>
      </w:tr>
    </w:tbl>
    <w:p w14:paraId="650942FB" w14:textId="77777777" w:rsidR="009A2DA1" w:rsidRDefault="009A2DA1" w:rsidP="0005447E">
      <w:pPr>
        <w:sectPr w:rsidR="009A2DA1" w:rsidSect="002B4B5B">
          <w:pgSz w:w="16838" w:h="11906" w:orient="landscape" w:code="9"/>
          <w:pgMar w:top="1418" w:right="1474" w:bottom="1418" w:left="1134" w:header="964" w:footer="454" w:gutter="0"/>
          <w:cols w:space="708"/>
          <w:docGrid w:linePitch="360"/>
        </w:sectPr>
      </w:pPr>
    </w:p>
    <w:p w14:paraId="50F266FA" w14:textId="3351E8C2" w:rsidR="00797DDE" w:rsidRDefault="00521584" w:rsidP="000E0C77">
      <w:pPr>
        <w:pStyle w:val="appendix"/>
        <w:numPr>
          <w:ilvl w:val="0"/>
          <w:numId w:val="0"/>
        </w:numPr>
        <w:ind w:left="3"/>
      </w:pPr>
      <w:bookmarkStart w:id="162" w:name="_Toc88486007"/>
      <w:bookmarkStart w:id="163" w:name="_Toc141346902"/>
      <w:bookmarkStart w:id="164" w:name="_Toc222131890"/>
      <w:bookmarkEnd w:id="159"/>
      <w:bookmarkEnd w:id="160"/>
      <w:bookmarkEnd w:id="161"/>
      <w:r w:rsidRPr="00FB523F">
        <w:lastRenderedPageBreak/>
        <w:t>Appendix C</w:t>
      </w:r>
      <w:r w:rsidR="007512B5">
        <w:t>:</w:t>
      </w:r>
      <w:r w:rsidRPr="00FB523F">
        <w:t xml:space="preserve"> </w:t>
      </w:r>
      <w:bookmarkEnd w:id="162"/>
      <w:bookmarkEnd w:id="163"/>
      <w:r w:rsidR="00AC7660">
        <w:t>Planning and Policy Detail</w:t>
      </w:r>
      <w:bookmarkEnd w:id="164"/>
    </w:p>
    <w:p w14:paraId="1393C020" w14:textId="577F3602" w:rsidR="00797DDE" w:rsidRDefault="00797DDE" w:rsidP="00797DDE">
      <w:pPr>
        <w:pStyle w:val="Style2"/>
        <w:rPr>
          <w:szCs w:val="24"/>
        </w:rPr>
      </w:pPr>
      <w:bookmarkStart w:id="165" w:name="_Toc222131891"/>
      <w:r>
        <w:rPr>
          <w:szCs w:val="24"/>
        </w:rPr>
        <w:t>C</w:t>
      </w:r>
      <w:r w:rsidRPr="00797DDE">
        <w:rPr>
          <w:szCs w:val="24"/>
        </w:rPr>
        <w:t xml:space="preserve">.1 </w:t>
      </w:r>
      <w:bookmarkStart w:id="166" w:name="_Hlk206419802"/>
      <w:r>
        <w:rPr>
          <w:szCs w:val="24"/>
        </w:rPr>
        <w:t>National Planning and Policy Context</w:t>
      </w:r>
      <w:bookmarkEnd w:id="165"/>
      <w:bookmarkEnd w:id="166"/>
    </w:p>
    <w:p w14:paraId="378EC4D4" w14:textId="77777777" w:rsidR="00797DDE" w:rsidRDefault="00797DDE" w:rsidP="00797DDE">
      <w:pPr>
        <w:pStyle w:val="Heading4"/>
      </w:pPr>
      <w:r>
        <w:t>Environment Act (2021)</w:t>
      </w:r>
    </w:p>
    <w:p w14:paraId="7B21CF1B" w14:textId="77777777" w:rsidR="00797DDE" w:rsidRDefault="00797DDE" w:rsidP="00797DDE">
      <w:pPr>
        <w:pStyle w:val="BodyText"/>
      </w:pPr>
      <w:r w:rsidRPr="002E70BA">
        <w:t>The Environment Act 2021</w:t>
      </w:r>
      <w:r>
        <w:t xml:space="preserve"> </w:t>
      </w:r>
      <w:r w:rsidRPr="002E70BA">
        <w:t>amends the Environment Act 1995</w:t>
      </w:r>
      <w:r>
        <w:t xml:space="preserve"> and sets a new course for the UK’s environmental policy post-Brexit. It includes provisions to establish a set of statutory environmental principles to guide future legislation and policy decisions and ensure environmental governance through an environmental watchdog, the Office for Environmental Protection (OEP). </w:t>
      </w:r>
    </w:p>
    <w:p w14:paraId="5B1333B2" w14:textId="77777777" w:rsidR="00797DDE" w:rsidRDefault="00797DDE" w:rsidP="00797DDE">
      <w:pPr>
        <w:pStyle w:val="BodyText"/>
      </w:pPr>
      <w:r w:rsidRPr="002E70BA">
        <w:t xml:space="preserve">Under Part IV of the Act, the government is mandated to develop </w:t>
      </w:r>
      <w:r>
        <w:t>a</w:t>
      </w:r>
      <w:r w:rsidRPr="002E70BA">
        <w:t xml:space="preserve"> National Air Quality Strategy (AQS)</w:t>
      </w:r>
      <w:r>
        <w:t xml:space="preserve"> which </w:t>
      </w:r>
      <w:r w:rsidRPr="003F6F6F">
        <w:t xml:space="preserve">contains clear standards, objectives, and measures to improve ambient air quality, and to publish a report reviewing the AQS every five years (as a minimum and with yearly updates to Parliament), in the form of the Environmental Improvement Plan. </w:t>
      </w:r>
    </w:p>
    <w:p w14:paraId="0AB31B4B" w14:textId="77777777" w:rsidR="00797DDE" w:rsidRDefault="00797DDE" w:rsidP="00797DDE">
      <w:pPr>
        <w:pStyle w:val="BodyText"/>
      </w:pPr>
      <w:r>
        <w:t xml:space="preserve">The Environment Act 2021 includes </w:t>
      </w:r>
      <w:r w:rsidRPr="003F6F6F">
        <w:t>a proposal that the government set a range of new environmental targets including an annual mean concentration target and a population exposure reduction target for PM</w:t>
      </w:r>
      <w:r w:rsidRPr="003F6F6F">
        <w:rPr>
          <w:vertAlign w:val="subscript"/>
        </w:rPr>
        <w:t>2.5</w:t>
      </w:r>
      <w:r w:rsidRPr="003F6F6F">
        <w:t>. Following through on these requirements, the Environmental Targets (Fine Particulate Matter)</w:t>
      </w:r>
      <w:r w:rsidRPr="002E70BA">
        <w:t xml:space="preserve"> (England) Regulations 2023</w:t>
      </w:r>
      <w:r>
        <w:t xml:space="preserve"> </w:t>
      </w:r>
      <w:r w:rsidRPr="002E70BA">
        <w:t>came into effect, introducing the two targets described above. The</w:t>
      </w:r>
      <w:r>
        <w:t xml:space="preserve">se legislative targets </w:t>
      </w:r>
      <w:r w:rsidRPr="002E70BA">
        <w:t>must be met at relevant monitoring stations by December 31, 2040.</w:t>
      </w:r>
      <w:r>
        <w:rPr>
          <w:sz w:val="26"/>
          <w:szCs w:val="26"/>
        </w:rPr>
        <w:t xml:space="preserve"> </w:t>
      </w:r>
      <w:r w:rsidRPr="00AD4485">
        <w:t xml:space="preserve">Full </w:t>
      </w:r>
      <w:r>
        <w:t>guidance on h</w:t>
      </w:r>
      <w:r w:rsidRPr="00D60D42">
        <w:t xml:space="preserve">ow target values should be considered in development control and local air quality control is </w:t>
      </w:r>
      <w:r>
        <w:t>not yet available</w:t>
      </w:r>
      <w:r w:rsidRPr="00D60D42">
        <w:t>.</w:t>
      </w:r>
      <w:r>
        <w:t xml:space="preserve"> </w:t>
      </w:r>
      <w:r w:rsidRPr="005D6A3F">
        <w:t>Interim Planning Guidance was published in October 2024. The guidance moves away from an exceedance-based approach and towards a minimisation of pollution approach. It recommends key sources of air pollution schemes submitted for planning applications are identified, and appropriate action to minimise emissions of PM</w:t>
      </w:r>
      <w:r w:rsidRPr="005D6A3F">
        <w:rPr>
          <w:vertAlign w:val="subscript"/>
        </w:rPr>
        <w:t>2.5</w:t>
      </w:r>
      <w:r w:rsidRPr="005D6A3F">
        <w:t xml:space="preserve"> and its precursors are implemented as far as is reasonably practicable. If quantitative evidence is not available, a qualitative approach can be taken.</w:t>
      </w:r>
    </w:p>
    <w:p w14:paraId="142AC7BE" w14:textId="77777777" w:rsidR="00797DDE" w:rsidRDefault="00797DDE" w:rsidP="00797DDE">
      <w:pPr>
        <w:pStyle w:val="Heading4"/>
      </w:pPr>
      <w:r>
        <w:lastRenderedPageBreak/>
        <w:t>Clean Air Strategy</w:t>
      </w:r>
    </w:p>
    <w:p w14:paraId="483D800A" w14:textId="77777777" w:rsidR="00797DDE" w:rsidRDefault="00797DDE" w:rsidP="00797DDE">
      <w:pPr>
        <w:pStyle w:val="BodyText"/>
        <w:jc w:val="both"/>
      </w:pPr>
      <w:r>
        <w:t>In 2019, the UK government introduced the Clean Air Strategy 2019, a major component of its broader 25 Year Environment Plan, and the government’s primary strategy for air quality. This strategy underscored a renewed governmental commitment to air quality improvements and also laid the groundwork for the development of more recent legislative changes as described above.</w:t>
      </w:r>
    </w:p>
    <w:p w14:paraId="7A65EC6D" w14:textId="77777777" w:rsidR="00797DDE" w:rsidRDefault="00797DDE" w:rsidP="00797DDE">
      <w:pPr>
        <w:pStyle w:val="BodyText"/>
        <w:jc w:val="both"/>
      </w:pPr>
      <w:r w:rsidRPr="006559C6">
        <w:t>In recent years, air quality management has primarily focused on nitrogen dioxide (NO</w:t>
      </w:r>
      <w:r w:rsidRPr="006559C6">
        <w:rPr>
          <w:vertAlign w:val="subscript"/>
        </w:rPr>
        <w:t>2</w:t>
      </w:r>
      <w:r w:rsidRPr="006559C6">
        <w:t>), and its principal source in the UK i.e. road traffic. However, the Clean Air Strategy broadens the focus to other areas. This shift in emphasis is part of a longer</w:t>
      </w:r>
      <w:r>
        <w:t>-</w:t>
      </w:r>
      <w:r w:rsidRPr="006559C6">
        <w:t>term goal to reduce the levels of PM</w:t>
      </w:r>
      <w:r w:rsidRPr="009017E8">
        <w:rPr>
          <w:vertAlign w:val="subscript"/>
        </w:rPr>
        <w:t>2.5</w:t>
      </w:r>
      <w:r w:rsidRPr="006559C6">
        <w:t xml:space="preserve"> in ambient air.</w:t>
      </w:r>
      <w:r>
        <w:t xml:space="preserve"> It outlined comprehensive measures to combat air pollution, from reducing emissions across various sectors to enhancing the country's monitoring and analytics capabilities. Recognizing that air pollution is a complex problem influenced by a range of factors, including industrial activity, agriculture, and domestic heating, the strategy advocated for a holistic approach to ensure cleaner air.</w:t>
      </w:r>
    </w:p>
    <w:p w14:paraId="332C07E9" w14:textId="77777777" w:rsidR="00797DDE" w:rsidRDefault="00797DDE" w:rsidP="00797DDE">
      <w:pPr>
        <w:pStyle w:val="Heading4"/>
      </w:pPr>
      <w:r>
        <w:t>Air Quality Strategy 2023</w:t>
      </w:r>
    </w:p>
    <w:p w14:paraId="3B38484B" w14:textId="77777777" w:rsidR="00797DDE" w:rsidRDefault="00797DDE" w:rsidP="00797DDE">
      <w:pPr>
        <w:pStyle w:val="BodyText"/>
        <w:jc w:val="both"/>
      </w:pPr>
      <w:r>
        <w:t>Functioning as a framework for local authority delivery of the above plans, a new Air Quality Strategy (AQS) was published in April 2023</w:t>
      </w:r>
      <w:r w:rsidRPr="001241B6">
        <w:rPr>
          <w:rFonts w:cstheme="minorHAnsi"/>
        </w:rPr>
        <w:t xml:space="preserve">. This updated strategy is action-oriented, outlining specific roles for local authorities in support of achieving the new national </w:t>
      </w:r>
      <w:r>
        <w:rPr>
          <w:rFonts w:cstheme="minorHAnsi"/>
        </w:rPr>
        <w:t>PM</w:t>
      </w:r>
      <w:r w:rsidRPr="001241B6">
        <w:rPr>
          <w:rFonts w:cstheme="minorHAnsi"/>
          <w:vertAlign w:val="subscript"/>
        </w:rPr>
        <w:t>2.5</w:t>
      </w:r>
      <w:r>
        <w:rPr>
          <w:rFonts w:cstheme="minorHAnsi"/>
        </w:rPr>
        <w:t xml:space="preserve"> </w:t>
      </w:r>
      <w:r w:rsidRPr="001241B6">
        <w:rPr>
          <w:rFonts w:cstheme="minorHAnsi"/>
        </w:rPr>
        <w:t>targets</w:t>
      </w:r>
      <w:r>
        <w:rPr>
          <w:rFonts w:cstheme="minorHAnsi"/>
        </w:rPr>
        <w:t xml:space="preserve"> and other long-term air quality goals</w:t>
      </w:r>
      <w:r w:rsidRPr="001241B6">
        <w:rPr>
          <w:rFonts w:cstheme="minorHAnsi"/>
        </w:rPr>
        <w:t xml:space="preserve">. It specifies that </w:t>
      </w:r>
      <w:r>
        <w:t>local authorities are expected to take action by controlling emissions from sources within their jurisdiction.</w:t>
      </w:r>
    </w:p>
    <w:p w14:paraId="793A2621" w14:textId="77777777" w:rsidR="00797DDE" w:rsidRPr="005D6A3F" w:rsidRDefault="00797DDE" w:rsidP="00797DDE">
      <w:pPr>
        <w:pStyle w:val="BodyText"/>
        <w:jc w:val="both"/>
        <w:rPr>
          <w:rFonts w:eastAsia="Arial"/>
        </w:rPr>
      </w:pPr>
      <w:r w:rsidRPr="00632DEE">
        <w:rPr>
          <w:rFonts w:eastAsia="Arial"/>
        </w:rPr>
        <w:t>The AQS</w:t>
      </w:r>
      <w:r>
        <w:rPr>
          <w:rFonts w:eastAsia="Arial"/>
        </w:rPr>
        <w:t xml:space="preserve"> </w:t>
      </w:r>
      <w:r w:rsidRPr="00632DEE">
        <w:rPr>
          <w:rFonts w:eastAsia="Arial"/>
        </w:rPr>
        <w:t>outlines proposals to tackle emissions from a range of sources. This includes providing</w:t>
      </w:r>
      <w:r w:rsidRPr="58D7EAB2">
        <w:rPr>
          <w:rFonts w:eastAsia="Arial"/>
        </w:rPr>
        <w:t xml:space="preserve"> clear and effective guidance on how </w:t>
      </w:r>
      <w:r>
        <w:t>an Air Quality Management Areas (AQMAs)</w:t>
      </w:r>
      <w:r w:rsidRPr="58D7EAB2">
        <w:rPr>
          <w:rFonts w:eastAsia="Arial"/>
        </w:rPr>
        <w:t xml:space="preserve">, Clean Air Zones (CAZs) and Smoke Control Areas interrelate and how they can be used by local government to tackle pollution. </w:t>
      </w:r>
    </w:p>
    <w:p w14:paraId="46D5CBBB" w14:textId="77777777" w:rsidR="00797DDE" w:rsidRDefault="00797DDE" w:rsidP="00797DDE">
      <w:pPr>
        <w:pStyle w:val="Heading4"/>
      </w:pPr>
      <w:r>
        <w:t>National Planning Policy Framework (2024)</w:t>
      </w:r>
    </w:p>
    <w:p w14:paraId="12F595A2" w14:textId="77777777" w:rsidR="00797DDE" w:rsidRPr="005D6A3F" w:rsidRDefault="00797DDE" w:rsidP="00797DDE">
      <w:pPr>
        <w:pStyle w:val="BodyText"/>
      </w:pPr>
      <w:r w:rsidRPr="005D6A3F">
        <w:t xml:space="preserve">The National Planning Policy Framework (NPPF) sets out the Government’s environmental, economic and social policies and principles for land use planning in </w:t>
      </w:r>
      <w:r w:rsidRPr="005D6A3F">
        <w:lastRenderedPageBreak/>
        <w:t xml:space="preserve">England and how these are expected to be applied, providing a framework within which locally-prepared plans for development can be produced. The National Planning Policy Framework was first published in March 2012, and was last updated in December 2024. </w:t>
      </w:r>
    </w:p>
    <w:p w14:paraId="727A3360" w14:textId="77777777" w:rsidR="00797DDE" w:rsidRPr="005D6A3F" w:rsidRDefault="00797DDE" w:rsidP="00797DDE">
      <w:pPr>
        <w:pStyle w:val="BodyText"/>
      </w:pPr>
      <w:r w:rsidRPr="005D6A3F">
        <w:t xml:space="preserve">Paragraphs 110, 187, and 199 and 224 of the NPPF provide advice on when air quality should be a material consideration in development management decisions. </w:t>
      </w:r>
    </w:p>
    <w:p w14:paraId="5511EDAC" w14:textId="77777777" w:rsidR="00797DDE" w:rsidRPr="005D6A3F" w:rsidRDefault="00797DDE" w:rsidP="00797DDE">
      <w:pPr>
        <w:pStyle w:val="BodyText"/>
      </w:pPr>
      <w:r w:rsidRPr="005D6A3F">
        <w:t>Paragraph 19</w:t>
      </w:r>
      <w:r>
        <w:t>9</w:t>
      </w:r>
      <w:r w:rsidRPr="005D6A3F">
        <w:t xml:space="preserve"> states that:</w:t>
      </w:r>
    </w:p>
    <w:p w14:paraId="2BD7CCCE" w14:textId="77777777" w:rsidR="00797DDE" w:rsidRDefault="00797DDE" w:rsidP="00797DDE">
      <w:pPr>
        <w:pStyle w:val="BodyText"/>
        <w:rPr>
          <w:i/>
          <w:iCs/>
        </w:rPr>
      </w:pPr>
      <w:r w:rsidRPr="005D6A3F">
        <w:rPr>
          <w:i/>
          <w:iCs/>
        </w:rPr>
        <w:t>“Planning policies and decisions should sustain and contribute towards compliance with relevant limit values or national objectives for pollutants, taking into account the presence of Air Quality Management Areas and Clean Air Zones, and the cumulative impacts from individual sites in local areas. Opportunities to improve air quality or mitigate impacts should be identified, Opportunities to improve air quality or mitigate impacts should be identified, such as through traffic and travel management, and green infrastructure provision and enhancement. So far as possible these opportunities should be considered at the plan-making stage, to ensure a strategic approach and limit the need for issues to be reconsidered when determining individual applications. Planning decisions should ensure that any new development in Air Quality Management Areas and Clean Air Zones is consistent with the local air quality action plan.”</w:t>
      </w:r>
    </w:p>
    <w:p w14:paraId="10D8D534" w14:textId="77777777" w:rsidR="00797DDE" w:rsidRDefault="00797DDE" w:rsidP="00797DDE">
      <w:pPr>
        <w:pStyle w:val="Heading4"/>
      </w:pPr>
      <w:r>
        <w:t>Integrated National Transport Strategy (emerging)</w:t>
      </w:r>
    </w:p>
    <w:p w14:paraId="6977E19D" w14:textId="3B07D966" w:rsidR="00797DDE" w:rsidRPr="001348DC" w:rsidRDefault="00797DDE" w:rsidP="00797DDE">
      <w:r w:rsidRPr="001348DC">
        <w:t>The Department for Transport is developing a strategy which will set the high-level direction for how transport should be designed, built and operated in England over the next 10 years.</w:t>
      </w:r>
      <w:r w:rsidRPr="001348DC">
        <w:rPr>
          <w:rStyle w:val="FootnoteReference"/>
        </w:rPr>
        <w:footnoteReference w:id="22"/>
      </w:r>
      <w:r w:rsidRPr="001348DC">
        <w:t xml:space="preserve"> It will set out a single national vision which will</w:t>
      </w:r>
      <w:r w:rsidRPr="001348DC">
        <w:rPr>
          <w:rStyle w:val="FootnoteReference"/>
        </w:rPr>
        <w:footnoteReference w:id="23"/>
      </w:r>
      <w:r w:rsidRPr="001348DC">
        <w:t>:</w:t>
      </w:r>
    </w:p>
    <w:p w14:paraId="371726F1" w14:textId="77777777" w:rsidR="00797DDE" w:rsidRPr="001348DC" w:rsidRDefault="00797DDE" w:rsidP="00797DDE">
      <w:pPr>
        <w:pStyle w:val="ListParagraph"/>
        <w:numPr>
          <w:ilvl w:val="0"/>
          <w:numId w:val="18"/>
        </w:numPr>
      </w:pPr>
      <w:r w:rsidRPr="001348DC">
        <w:lastRenderedPageBreak/>
        <w:t>Put people who use transport and their needs at its heart; and</w:t>
      </w:r>
    </w:p>
    <w:p w14:paraId="0E3DBC67" w14:textId="77777777" w:rsidR="00797DDE" w:rsidRPr="001348DC" w:rsidRDefault="00797DDE" w:rsidP="00797DDE">
      <w:pPr>
        <w:pStyle w:val="ListParagraph"/>
        <w:numPr>
          <w:ilvl w:val="0"/>
          <w:numId w:val="18"/>
        </w:numPr>
      </w:pPr>
      <w:r w:rsidRPr="001348DC">
        <w:t>Empower local leaders to deliver integrated transport solutions that meet the needs of their local communities.</w:t>
      </w:r>
    </w:p>
    <w:p w14:paraId="71716E84" w14:textId="31FA9BA3" w:rsidR="00797DDE" w:rsidRPr="001348DC" w:rsidRDefault="00797DDE" w:rsidP="00797DDE">
      <w:r w:rsidRPr="001348DC">
        <w:t>A call for evidence ran from 28</w:t>
      </w:r>
      <w:r w:rsidRPr="001348DC">
        <w:rPr>
          <w:vertAlign w:val="superscript"/>
        </w:rPr>
        <w:t>th</w:t>
      </w:r>
      <w:r w:rsidRPr="001348DC">
        <w:t xml:space="preserve"> November 2024 to 20</w:t>
      </w:r>
      <w:r w:rsidRPr="001348DC">
        <w:rPr>
          <w:vertAlign w:val="superscript"/>
        </w:rPr>
        <w:t>th</w:t>
      </w:r>
      <w:r w:rsidRPr="001348DC">
        <w:t xml:space="preserve"> February 2025.</w:t>
      </w:r>
      <w:r>
        <w:t xml:space="preserve"> A series of regional roadshows were held in February and March 2025 for the government to listen to ideas on how the strategy can support better integrated public transport and improve transport in rural areas, learning from successful integrated systems such as the Bee Network, as well as considering how cycling and walking can become the best choice for shorter journeys</w:t>
      </w:r>
      <w:r>
        <w:rPr>
          <w:rStyle w:val="FootnoteReference"/>
        </w:rPr>
        <w:footnoteReference w:id="24"/>
      </w:r>
      <w:r>
        <w:t>. Another call for evidence is currently underway until 16</w:t>
      </w:r>
      <w:r w:rsidRPr="00D615CF">
        <w:rPr>
          <w:vertAlign w:val="superscript"/>
        </w:rPr>
        <w:t>th</w:t>
      </w:r>
      <w:r>
        <w:t xml:space="preserve"> October 2025</w:t>
      </w:r>
      <w:r>
        <w:rPr>
          <w:rStyle w:val="FootnoteReference"/>
        </w:rPr>
        <w:footnoteReference w:id="25"/>
      </w:r>
      <w:r>
        <w:t>.</w:t>
      </w:r>
    </w:p>
    <w:p w14:paraId="27A9B983" w14:textId="2828402E" w:rsidR="00797DDE" w:rsidRDefault="00797DDE" w:rsidP="00797DDE">
      <w:pPr>
        <w:pStyle w:val="Heading4"/>
      </w:pPr>
      <w:r>
        <w:t>Net Ze</w:t>
      </w:r>
      <w:r w:rsidR="00501C06">
        <w:t>r</w:t>
      </w:r>
      <w:r>
        <w:t>o Strategy: Build Back Greener (2021)</w:t>
      </w:r>
    </w:p>
    <w:p w14:paraId="353E9E4C" w14:textId="77777777" w:rsidR="00797DDE" w:rsidRPr="009640F6" w:rsidRDefault="00797DDE" w:rsidP="00797DDE">
      <w:r w:rsidRPr="009640F6">
        <w:t>The Net Zero Strategy – Build Back Greener was published in October 2021</w:t>
      </w:r>
      <w:r w:rsidRPr="009640F6">
        <w:rPr>
          <w:rStyle w:val="FootnoteReference"/>
        </w:rPr>
        <w:footnoteReference w:id="26"/>
      </w:r>
      <w:r w:rsidRPr="009640F6">
        <w:t>.</w:t>
      </w:r>
      <w:r>
        <w:t xml:space="preserve"> </w:t>
      </w:r>
      <w:r w:rsidRPr="009640F6">
        <w:t>It sets out policies and proposals for decarbonising all sectors of the UK economy to meet the net zero target by 2050. This strategy builds on the 10-point plan for a green industrial revolution</w:t>
      </w:r>
      <w:r w:rsidRPr="009640F6">
        <w:rPr>
          <w:rStyle w:val="FootnoteReference"/>
        </w:rPr>
        <w:footnoteReference w:id="27"/>
      </w:r>
      <w:r w:rsidRPr="009640F6">
        <w:t xml:space="preserve"> which lays the foundations for a green economic recovery from the impacts of Covid-19. It aims to keep the UK on track for the carbon budgets, the 2030 Nationally Determined Contribution, and net zero by 2050. Key policies in relation to air quality are:</w:t>
      </w:r>
    </w:p>
    <w:p w14:paraId="3E4B9CEE" w14:textId="77777777" w:rsidR="00797DDE" w:rsidRPr="009640F6" w:rsidRDefault="00797DDE" w:rsidP="00797DDE">
      <w:pPr>
        <w:rPr>
          <w:i/>
          <w:iCs/>
        </w:rPr>
      </w:pPr>
      <w:r w:rsidRPr="009640F6">
        <w:rPr>
          <w:i/>
          <w:iCs/>
        </w:rPr>
        <w:lastRenderedPageBreak/>
        <w:t>“By 2035 the UK will be powered entirely by clean electricity, subject to security of supply.” p. 19</w:t>
      </w:r>
    </w:p>
    <w:p w14:paraId="75D02FB3" w14:textId="77777777" w:rsidR="00797DDE" w:rsidRPr="009640F6" w:rsidRDefault="00797DDE" w:rsidP="00797DDE">
      <w:pPr>
        <w:rPr>
          <w:i/>
          <w:iCs/>
        </w:rPr>
      </w:pPr>
      <w:r w:rsidRPr="009640F6">
        <w:rPr>
          <w:i/>
          <w:iCs/>
        </w:rPr>
        <w:t>“An ambition that by 2035, no new gas boilers will be sold.” p. 22</w:t>
      </w:r>
    </w:p>
    <w:p w14:paraId="4EC2CCAE" w14:textId="77777777" w:rsidR="00797DDE" w:rsidRPr="009640F6" w:rsidRDefault="00797DDE" w:rsidP="00797DDE">
      <w:pPr>
        <w:rPr>
          <w:i/>
          <w:iCs/>
        </w:rPr>
      </w:pPr>
      <w:r w:rsidRPr="009640F6">
        <w:rPr>
          <w:i/>
          <w:iCs/>
        </w:rPr>
        <w:t xml:space="preserve">“[…] [the] 2030 commitment to end the sale of new petrol and diesel cars, and 2035 commitment that all cars must be fully zero emissions capable.” p.24 </w:t>
      </w:r>
    </w:p>
    <w:p w14:paraId="2233035C" w14:textId="77777777" w:rsidR="00797DDE" w:rsidRPr="009640F6" w:rsidRDefault="00797DDE" w:rsidP="00797DDE">
      <w:pPr>
        <w:rPr>
          <w:i/>
          <w:iCs/>
        </w:rPr>
      </w:pPr>
      <w:r w:rsidRPr="009640F6">
        <w:rPr>
          <w:i/>
          <w:iCs/>
        </w:rPr>
        <w:t>“[…] enable [that]</w:t>
      </w:r>
      <w:r>
        <w:rPr>
          <w:i/>
          <w:iCs/>
        </w:rPr>
        <w:t xml:space="preserve"> </w:t>
      </w:r>
      <w:r w:rsidRPr="009640F6">
        <w:rPr>
          <w:i/>
          <w:iCs/>
        </w:rPr>
        <w:t>half of journeys in towns and cities to be cycled or walked by 2030.” p. 25</w:t>
      </w:r>
    </w:p>
    <w:p w14:paraId="385CBDA7" w14:textId="7A77EAE3" w:rsidR="00797DDE" w:rsidRPr="00D04771" w:rsidRDefault="00797DDE" w:rsidP="00D04771">
      <w:pPr>
        <w:rPr>
          <w:i/>
          <w:iCs/>
        </w:rPr>
      </w:pPr>
      <w:r w:rsidRPr="009640F6">
        <w:rPr>
          <w:i/>
          <w:iCs/>
        </w:rPr>
        <w:t>“[…] a net zero rail network by 2050, with the ambition to remove all diesel-only trains by 2040.” p. 25</w:t>
      </w:r>
    </w:p>
    <w:p w14:paraId="01FCACC8" w14:textId="0074CBD6" w:rsidR="001A6325" w:rsidRDefault="00797DDE" w:rsidP="00797DDE">
      <w:pPr>
        <w:pStyle w:val="Style2"/>
      </w:pPr>
      <w:bookmarkStart w:id="167" w:name="_Toc222131892"/>
      <w:r>
        <w:t>C.2 Regional Planning and Policy Context</w:t>
      </w:r>
      <w:bookmarkEnd w:id="167"/>
    </w:p>
    <w:p w14:paraId="7D31F569" w14:textId="77777777" w:rsidR="00797DDE" w:rsidRDefault="00797DDE" w:rsidP="00797DDE">
      <w:pPr>
        <w:pStyle w:val="Heading4"/>
      </w:pPr>
      <w:r>
        <w:t>North East Local Transport Plan: Delivering Green Transport</w:t>
      </w:r>
    </w:p>
    <w:p w14:paraId="00A0AE4A" w14:textId="77777777" w:rsidR="00797DDE" w:rsidRDefault="00797DDE" w:rsidP="00797DDE">
      <w:r w:rsidRPr="00590FFC">
        <w:t>The Mayor’s Local Transport Plan (LTP) for the North East sets out the North East Combined Authority’s transport priorities up to 2040 with a list of proposals to create a green, integrated transport network</w:t>
      </w:r>
      <w:r>
        <w:rPr>
          <w:rStyle w:val="FootnoteReference"/>
        </w:rPr>
        <w:footnoteReference w:id="28"/>
      </w:r>
      <w:r>
        <w:t xml:space="preserve">. </w:t>
      </w:r>
    </w:p>
    <w:p w14:paraId="2F4B0B26" w14:textId="77777777" w:rsidR="00797DDE" w:rsidRDefault="00797DDE" w:rsidP="00797DDE">
      <w:r>
        <w:t>Air Quality is discussed in the context of the mission for being the home of the green energy revolution:</w:t>
      </w:r>
    </w:p>
    <w:p w14:paraId="6CF78878" w14:textId="77777777" w:rsidR="00797DDE" w:rsidRDefault="00797DDE" w:rsidP="00797DDE">
      <w:pPr>
        <w:rPr>
          <w:i/>
          <w:iCs/>
        </w:rPr>
      </w:pPr>
      <w:r w:rsidRPr="00411BDB">
        <w:rPr>
          <w:i/>
          <w:iCs/>
        </w:rPr>
        <w:t>“We will help people to make greener journeys by making sustainable travel easier, more affordable, and more attractive, benefitting the environment. We will encourage the switch away from petrol/diesel cars and vans to zero emission cars/vans which will improve air quality across our region.”</w:t>
      </w:r>
    </w:p>
    <w:p w14:paraId="6F3B5CDD" w14:textId="77777777" w:rsidR="00797DDE" w:rsidRDefault="00797DDE" w:rsidP="00797DDE">
      <w:r>
        <w:t>Air Quality is also discussed in the context of the UK Government mission for building an NHS fit for the future and how the Local Transport Plan supports the delivery of this:</w:t>
      </w:r>
    </w:p>
    <w:p w14:paraId="536676DB" w14:textId="77777777" w:rsidR="00797DDE" w:rsidRDefault="00797DDE" w:rsidP="00797DDE">
      <w:pPr>
        <w:rPr>
          <w:i/>
          <w:iCs/>
        </w:rPr>
      </w:pPr>
      <w:r w:rsidRPr="00411BDB">
        <w:rPr>
          <w:i/>
          <w:iCs/>
        </w:rPr>
        <w:lastRenderedPageBreak/>
        <w:t>“Improving health th</w:t>
      </w:r>
      <w:r>
        <w:rPr>
          <w:i/>
          <w:iCs/>
        </w:rPr>
        <w:t>r</w:t>
      </w:r>
      <w:r w:rsidRPr="00411BDB">
        <w:rPr>
          <w:i/>
          <w:iCs/>
        </w:rPr>
        <w:t>ough increased active travel and better air quality. […]”</w:t>
      </w:r>
    </w:p>
    <w:p w14:paraId="1CEA910B" w14:textId="77777777" w:rsidR="00797DDE" w:rsidRDefault="00797DDE" w:rsidP="00797DDE">
      <w:pPr>
        <w:pStyle w:val="Heading4"/>
      </w:pPr>
      <w:r>
        <w:t>The Interim North East Local Growth Plan 2025</w:t>
      </w:r>
    </w:p>
    <w:p w14:paraId="6DCB1288" w14:textId="77777777" w:rsidR="00797DDE" w:rsidRDefault="00797DDE" w:rsidP="00797DDE">
      <w:r>
        <w:t>The Interim Plan was published in March 2025 and it intended for wider consultation and input with a final version being published in summer 2025</w:t>
      </w:r>
      <w:r>
        <w:rPr>
          <w:rStyle w:val="FootnoteReference"/>
        </w:rPr>
        <w:footnoteReference w:id="29"/>
      </w:r>
      <w:r>
        <w:t xml:space="preserve">. The 10-year plan sets out how the economy will grow, businesses are supported and living standards are improved. </w:t>
      </w:r>
    </w:p>
    <w:p w14:paraId="2292ECCF" w14:textId="77777777" w:rsidR="00797DDE" w:rsidRDefault="00797DDE" w:rsidP="00797DDE">
      <w:r>
        <w:t>The five key missions are:</w:t>
      </w:r>
    </w:p>
    <w:p w14:paraId="79938F59" w14:textId="77777777" w:rsidR="00797DDE" w:rsidRPr="00D615CF" w:rsidRDefault="00797DDE" w:rsidP="00797DDE">
      <w:pPr>
        <w:pStyle w:val="ListParagraph"/>
        <w:numPr>
          <w:ilvl w:val="0"/>
          <w:numId w:val="32"/>
        </w:numPr>
        <w:rPr>
          <w:i/>
          <w:iCs/>
        </w:rPr>
      </w:pPr>
      <w:r>
        <w:rPr>
          <w:i/>
          <w:iCs/>
        </w:rPr>
        <w:t>“</w:t>
      </w:r>
      <w:r w:rsidRPr="00D615CF">
        <w:rPr>
          <w:i/>
          <w:iCs/>
        </w:rPr>
        <w:t>Home to a growing and vibrant economy for all</w:t>
      </w:r>
      <w:r>
        <w:rPr>
          <w:i/>
          <w:iCs/>
        </w:rPr>
        <w:t>;</w:t>
      </w:r>
    </w:p>
    <w:p w14:paraId="2CEF347B" w14:textId="77777777" w:rsidR="00797DDE" w:rsidRPr="00D615CF" w:rsidRDefault="00797DDE" w:rsidP="00797DDE">
      <w:pPr>
        <w:pStyle w:val="ListParagraph"/>
        <w:numPr>
          <w:ilvl w:val="0"/>
          <w:numId w:val="32"/>
        </w:numPr>
        <w:rPr>
          <w:i/>
          <w:iCs/>
        </w:rPr>
      </w:pPr>
      <w:r w:rsidRPr="00D615CF">
        <w:rPr>
          <w:i/>
          <w:iCs/>
        </w:rPr>
        <w:t>Home of the green energy revolution</w:t>
      </w:r>
      <w:r>
        <w:rPr>
          <w:i/>
          <w:iCs/>
        </w:rPr>
        <w:t>;</w:t>
      </w:r>
    </w:p>
    <w:p w14:paraId="6FBD22EE" w14:textId="77777777" w:rsidR="00797DDE" w:rsidRPr="00D615CF" w:rsidRDefault="00797DDE" w:rsidP="00797DDE">
      <w:pPr>
        <w:pStyle w:val="ListParagraph"/>
        <w:numPr>
          <w:ilvl w:val="0"/>
          <w:numId w:val="32"/>
        </w:numPr>
        <w:rPr>
          <w:i/>
          <w:iCs/>
        </w:rPr>
      </w:pPr>
      <w:r w:rsidRPr="00D615CF">
        <w:rPr>
          <w:i/>
          <w:iCs/>
        </w:rPr>
        <w:t>A welcoming home to global trade</w:t>
      </w:r>
      <w:r>
        <w:rPr>
          <w:i/>
          <w:iCs/>
        </w:rPr>
        <w:t>;</w:t>
      </w:r>
    </w:p>
    <w:p w14:paraId="45F1F2E8" w14:textId="77777777" w:rsidR="00797DDE" w:rsidRPr="00D615CF" w:rsidRDefault="00797DDE" w:rsidP="00797DDE">
      <w:pPr>
        <w:pStyle w:val="ListParagraph"/>
        <w:numPr>
          <w:ilvl w:val="0"/>
          <w:numId w:val="32"/>
        </w:numPr>
        <w:rPr>
          <w:i/>
          <w:iCs/>
        </w:rPr>
      </w:pPr>
      <w:r w:rsidRPr="00D615CF">
        <w:rPr>
          <w:i/>
          <w:iCs/>
        </w:rPr>
        <w:t>Home of real opportunity</w:t>
      </w:r>
      <w:r>
        <w:rPr>
          <w:i/>
          <w:iCs/>
        </w:rPr>
        <w:t>; and</w:t>
      </w:r>
    </w:p>
    <w:p w14:paraId="6E007E3A" w14:textId="77777777" w:rsidR="00797DDE" w:rsidRPr="00D615CF" w:rsidRDefault="00797DDE" w:rsidP="00797DDE">
      <w:pPr>
        <w:pStyle w:val="ListParagraph"/>
        <w:numPr>
          <w:ilvl w:val="0"/>
          <w:numId w:val="32"/>
        </w:numPr>
        <w:rPr>
          <w:i/>
          <w:iCs/>
        </w:rPr>
      </w:pPr>
      <w:r w:rsidRPr="00D615CF">
        <w:rPr>
          <w:i/>
          <w:iCs/>
        </w:rPr>
        <w:t>A North East we are proud to call home</w:t>
      </w:r>
      <w:r>
        <w:rPr>
          <w:i/>
          <w:iCs/>
        </w:rPr>
        <w:t>”</w:t>
      </w:r>
      <w:r w:rsidRPr="00D615CF">
        <w:rPr>
          <w:i/>
          <w:iCs/>
        </w:rPr>
        <w:t xml:space="preserve">. </w:t>
      </w:r>
    </w:p>
    <w:p w14:paraId="23F77002" w14:textId="003AF2BC" w:rsidR="00797DDE" w:rsidRDefault="00797DDE" w:rsidP="00797DDE">
      <w:r>
        <w:t>Within mission 5 air quality is identified as a challenge to deliver this mission:</w:t>
      </w:r>
    </w:p>
    <w:p w14:paraId="6690B6CB" w14:textId="77777777" w:rsidR="00797DDE" w:rsidRDefault="00797DDE" w:rsidP="00797DDE">
      <w:pPr>
        <w:rPr>
          <w:i/>
          <w:iCs/>
        </w:rPr>
      </w:pPr>
      <w:r w:rsidRPr="00D615CF">
        <w:rPr>
          <w:i/>
          <w:iCs/>
        </w:rPr>
        <w:t>“Contrasting transport challenges between rural isolation in more remote areas and poor air quality and congestion in parts of our towns and cities.”</w:t>
      </w:r>
    </w:p>
    <w:p w14:paraId="58C1812E" w14:textId="77777777" w:rsidR="00797DDE" w:rsidRPr="00030208" w:rsidRDefault="00797DDE" w:rsidP="00797DDE">
      <w:r>
        <w:t xml:space="preserve">The aim is </w:t>
      </w:r>
      <w:r w:rsidRPr="00D615CF">
        <w:rPr>
          <w:i/>
          <w:iCs/>
        </w:rPr>
        <w:t>“to create a green, integrated transport network that works for all”.</w:t>
      </w:r>
      <w:r>
        <w:t xml:space="preserve"> </w:t>
      </w:r>
    </w:p>
    <w:p w14:paraId="1285B015" w14:textId="77777777" w:rsidR="00797DDE" w:rsidRDefault="00797DDE" w:rsidP="00797DDE">
      <w:pPr>
        <w:pStyle w:val="Heading4"/>
      </w:pPr>
      <w:r>
        <w:t>Go Ultra Low North East</w:t>
      </w:r>
    </w:p>
    <w:p w14:paraId="2DC0DE76" w14:textId="77777777" w:rsidR="00797DDE" w:rsidRDefault="00797DDE" w:rsidP="00797DDE">
      <w:r>
        <w:t>The Go Ultra Low North East programme aims to raise an awareness of Ultra Low Emissions Vehicles or ULEVs, encouraging consumers to consider using electric vehicles (EVs) in the future</w:t>
      </w:r>
      <w:r>
        <w:rPr>
          <w:rStyle w:val="FootnoteReference"/>
        </w:rPr>
        <w:footnoteReference w:id="30"/>
      </w:r>
      <w:r>
        <w:t xml:space="preserve">. </w:t>
      </w:r>
    </w:p>
    <w:p w14:paraId="5B231D9F" w14:textId="77777777" w:rsidR="00797DDE" w:rsidRDefault="00797DDE" w:rsidP="00797DDE">
      <w:pPr>
        <w:pStyle w:val="Heading4"/>
      </w:pPr>
      <w:r>
        <w:lastRenderedPageBreak/>
        <w:t>North East Active Travel Strategy 2023</w:t>
      </w:r>
    </w:p>
    <w:p w14:paraId="6D3444E9" w14:textId="77777777" w:rsidR="00797DDE" w:rsidRDefault="00797DDE" w:rsidP="00797DDE">
      <w:r w:rsidRPr="00622F07">
        <w:t>In June 2023, the North East Joint Transport Committee approved a new North East Active Travel Strategy covering Tyne and Wear, Northumberland and Durham</w:t>
      </w:r>
      <w:r>
        <w:rPr>
          <w:rStyle w:val="FootnoteReference"/>
        </w:rPr>
        <w:footnoteReference w:id="31"/>
      </w:r>
      <w:r w:rsidRPr="00622F07">
        <w:t xml:space="preserve">. </w:t>
      </w:r>
      <w:r>
        <w:t>The Travel Strategy aims to encourage more active travel – walking, wheeling and cycling – across the North East and sets out proposals to help people travel actively more often. One benefit of over half of all shorter journeys being made by active travel in the North East by 2035 could be:</w:t>
      </w:r>
    </w:p>
    <w:p w14:paraId="09448AEB" w14:textId="77777777" w:rsidR="00797DDE" w:rsidRPr="00DE5D14" w:rsidRDefault="00797DDE" w:rsidP="00797DDE">
      <w:pPr>
        <w:rPr>
          <w:i/>
          <w:iCs/>
        </w:rPr>
      </w:pPr>
      <w:r w:rsidRPr="00DE5D14">
        <w:rPr>
          <w:i/>
          <w:iCs/>
        </w:rPr>
        <w:t>“Better air quality by reducing pollution from traffic emissions.”</w:t>
      </w:r>
    </w:p>
    <w:p w14:paraId="25921EFB" w14:textId="77777777" w:rsidR="00797DDE" w:rsidRDefault="00797DDE" w:rsidP="00797DDE">
      <w:pPr>
        <w:pStyle w:val="Heading4"/>
      </w:pPr>
      <w:r>
        <w:t>Making the Right Travel Choice Strategy 2022</w:t>
      </w:r>
    </w:p>
    <w:p w14:paraId="71BB5334" w14:textId="77777777" w:rsidR="00797DDE" w:rsidRDefault="00797DDE" w:rsidP="00797DDE">
      <w:r>
        <w:t>The Making the Right Travel Choice Strategy encourages car users to switch one journey a week to public transport, walking, wheeling, or cycling and for people who do not have access to a car to continue to travel sustainably</w:t>
      </w:r>
      <w:r>
        <w:rPr>
          <w:rStyle w:val="FootnoteReference"/>
        </w:rPr>
        <w:footnoteReference w:id="32"/>
      </w:r>
      <w:r>
        <w:t>. The objectives are:</w:t>
      </w:r>
    </w:p>
    <w:p w14:paraId="3A73F1CB" w14:textId="77777777" w:rsidR="00797DDE" w:rsidRDefault="00797DDE" w:rsidP="00797DDE">
      <w:pPr>
        <w:pStyle w:val="ListParagraph"/>
        <w:numPr>
          <w:ilvl w:val="0"/>
          <w:numId w:val="26"/>
        </w:numPr>
      </w:pPr>
      <w:r>
        <w:t>Carbon neutral North East</w:t>
      </w:r>
    </w:p>
    <w:p w14:paraId="0D0FD4FC" w14:textId="77777777" w:rsidR="00797DDE" w:rsidRDefault="00797DDE" w:rsidP="00797DDE">
      <w:pPr>
        <w:pStyle w:val="ListParagraph"/>
        <w:numPr>
          <w:ilvl w:val="1"/>
          <w:numId w:val="26"/>
        </w:numPr>
      </w:pPr>
      <w:r w:rsidRPr="00CE5183">
        <w:t>We will take action to make travel in the North East net carbon zero. We will address our air quality challenges and aim to tackle the climate emergency.</w:t>
      </w:r>
    </w:p>
    <w:p w14:paraId="336A9207" w14:textId="77777777" w:rsidR="00797DDE" w:rsidRDefault="00797DDE" w:rsidP="00797DDE">
      <w:pPr>
        <w:pStyle w:val="ListParagraph"/>
        <w:numPr>
          <w:ilvl w:val="0"/>
          <w:numId w:val="26"/>
        </w:numPr>
      </w:pPr>
      <w:r>
        <w:t>Overcome inequality and grow our economy</w:t>
      </w:r>
    </w:p>
    <w:p w14:paraId="1A70DF27" w14:textId="77777777" w:rsidR="00797DDE" w:rsidRDefault="00797DDE" w:rsidP="00797DDE">
      <w:pPr>
        <w:pStyle w:val="ListParagraph"/>
        <w:numPr>
          <w:ilvl w:val="1"/>
          <w:numId w:val="26"/>
        </w:numPr>
      </w:pPr>
      <w:r w:rsidRPr="00CE5183">
        <w:t>We will return the region to pre COVID-19 levels of employment and Gross Domestic Product (GDP), then move towards the ambitions set out in the North East Local Enterprise Partnership’s Strategic Economic Plan (SEP).</w:t>
      </w:r>
    </w:p>
    <w:p w14:paraId="772D8F04" w14:textId="77777777" w:rsidR="00797DDE" w:rsidRDefault="00797DDE" w:rsidP="00797DDE">
      <w:pPr>
        <w:pStyle w:val="ListParagraph"/>
        <w:numPr>
          <w:ilvl w:val="0"/>
          <w:numId w:val="26"/>
        </w:numPr>
      </w:pPr>
      <w:r>
        <w:t>Healthier North East</w:t>
      </w:r>
    </w:p>
    <w:p w14:paraId="29D480F8" w14:textId="77777777" w:rsidR="00797DDE" w:rsidRDefault="00797DDE" w:rsidP="00797DDE">
      <w:pPr>
        <w:pStyle w:val="ListParagraph"/>
        <w:numPr>
          <w:ilvl w:val="1"/>
          <w:numId w:val="26"/>
        </w:numPr>
      </w:pPr>
      <w:r>
        <w:lastRenderedPageBreak/>
        <w:t>We will encourage active travel (such as cycling, walking and wheeling) to help our region reach public health levels that are at least equal to other parts of the UK.</w:t>
      </w:r>
    </w:p>
    <w:p w14:paraId="58646EF4" w14:textId="77777777" w:rsidR="00797DDE" w:rsidRDefault="00797DDE" w:rsidP="00797DDE">
      <w:pPr>
        <w:pStyle w:val="ListParagraph"/>
        <w:numPr>
          <w:ilvl w:val="0"/>
          <w:numId w:val="26"/>
        </w:numPr>
      </w:pPr>
      <w:r>
        <w:t>Appealing sustainable transport choices</w:t>
      </w:r>
    </w:p>
    <w:p w14:paraId="20015DB6" w14:textId="77777777" w:rsidR="00797DDE" w:rsidRDefault="00797DDE" w:rsidP="00797DDE">
      <w:pPr>
        <w:pStyle w:val="ListParagraph"/>
        <w:numPr>
          <w:ilvl w:val="1"/>
          <w:numId w:val="26"/>
        </w:numPr>
      </w:pPr>
      <w:r>
        <w:t>We will introduce measures that make sustainable transport a more attractive, and an easy way to get around the North East.</w:t>
      </w:r>
    </w:p>
    <w:p w14:paraId="6F74C523" w14:textId="77777777" w:rsidR="00797DDE" w:rsidRDefault="00797DDE" w:rsidP="00797DDE">
      <w:pPr>
        <w:pStyle w:val="ListParagraph"/>
        <w:numPr>
          <w:ilvl w:val="0"/>
          <w:numId w:val="26"/>
        </w:numPr>
      </w:pPr>
      <w:r>
        <w:t>Safe, secure network</w:t>
      </w:r>
    </w:p>
    <w:p w14:paraId="6DBBCE7E" w14:textId="77777777" w:rsidR="00797DDE" w:rsidRDefault="00797DDE" w:rsidP="00797DDE">
      <w:pPr>
        <w:pStyle w:val="ListParagraph"/>
        <w:numPr>
          <w:ilvl w:val="1"/>
          <w:numId w:val="26"/>
        </w:numPr>
      </w:pPr>
      <w:r w:rsidRPr="00CE5183">
        <w:t>We will improve transport safety and security, ensuring that people are confident that they feel safe and secure when travelling.</w:t>
      </w:r>
    </w:p>
    <w:p w14:paraId="58ED9E80" w14:textId="77777777" w:rsidR="00797DDE" w:rsidRDefault="00797DDE" w:rsidP="00797DDE">
      <w:r>
        <w:t xml:space="preserve">One benefit of car users switching one journey a week to public transport, walking or cycling and people who do not have access to a car continuing to travel sustainability would </w:t>
      </w:r>
    </w:p>
    <w:p w14:paraId="2EE66F8A" w14:textId="77777777" w:rsidR="00797DDE" w:rsidRDefault="00797DDE" w:rsidP="00797DDE">
      <w:r>
        <w:t>“</w:t>
      </w:r>
      <w:r w:rsidRPr="00D615CF">
        <w:rPr>
          <w:i/>
          <w:iCs/>
        </w:rPr>
        <w:t>potentially reduce […] road traffic emissions</w:t>
      </w:r>
      <w:r>
        <w:t xml:space="preserve">”. </w:t>
      </w:r>
    </w:p>
    <w:p w14:paraId="5951CF35" w14:textId="77777777" w:rsidR="00797DDE" w:rsidRDefault="00797DDE" w:rsidP="00797DDE">
      <w:pPr>
        <w:pStyle w:val="Heading4"/>
      </w:pPr>
      <w:r>
        <w:t>Bus Service Improvement Plan 2023</w:t>
      </w:r>
    </w:p>
    <w:p w14:paraId="3287086F" w14:textId="77777777" w:rsidR="00797DDE" w:rsidRDefault="00797DDE" w:rsidP="00797DDE">
      <w:r>
        <w:t>The North East Bus Service Improvement Plan (BSIP) outlines regionwide ambitions to make buses more attractive by making them an affordable and practical alternative to using private cars for more people and helping existing bus users to travel more frequently</w:t>
      </w:r>
      <w:r>
        <w:rPr>
          <w:rStyle w:val="FootnoteReference"/>
        </w:rPr>
        <w:footnoteReference w:id="33"/>
      </w:r>
      <w:r>
        <w:t xml:space="preserve">. </w:t>
      </w:r>
    </w:p>
    <w:p w14:paraId="015B5E8C" w14:textId="77777777" w:rsidR="00797DDE" w:rsidRPr="00464A38" w:rsidRDefault="00797DDE" w:rsidP="00797DDE">
      <w:r>
        <w:t xml:space="preserve">The plan aims to return bus use – currently 25% lower than before the pandemic – to pre-Covid levels and to grow by 10% each year thereafter. </w:t>
      </w:r>
    </w:p>
    <w:p w14:paraId="2946DAA1" w14:textId="77777777" w:rsidR="00797DDE" w:rsidRDefault="00797DDE" w:rsidP="00797DDE">
      <w:r>
        <w:t xml:space="preserve">Increasing the use of buses will help to achieve many objectives such as: </w:t>
      </w:r>
    </w:p>
    <w:p w14:paraId="1E3E2E0E" w14:textId="77777777" w:rsidR="00797DDE" w:rsidRPr="00D615CF" w:rsidRDefault="00797DDE" w:rsidP="00797DDE">
      <w:pPr>
        <w:pStyle w:val="ListParagraph"/>
        <w:numPr>
          <w:ilvl w:val="0"/>
          <w:numId w:val="30"/>
        </w:numPr>
        <w:rPr>
          <w:i/>
          <w:iCs/>
        </w:rPr>
      </w:pPr>
      <w:r>
        <w:rPr>
          <w:i/>
          <w:iCs/>
        </w:rPr>
        <w:t>“</w:t>
      </w:r>
      <w:r w:rsidRPr="00D615CF">
        <w:rPr>
          <w:i/>
          <w:iCs/>
        </w:rPr>
        <w:t>lowering carbon emissions;</w:t>
      </w:r>
    </w:p>
    <w:p w14:paraId="52798CB7" w14:textId="77777777" w:rsidR="00797DDE" w:rsidRPr="00D615CF" w:rsidRDefault="00797DDE" w:rsidP="00797DDE">
      <w:pPr>
        <w:pStyle w:val="ListParagraph"/>
        <w:numPr>
          <w:ilvl w:val="0"/>
          <w:numId w:val="30"/>
        </w:numPr>
        <w:rPr>
          <w:i/>
          <w:iCs/>
        </w:rPr>
      </w:pPr>
      <w:r w:rsidRPr="00D615CF">
        <w:rPr>
          <w:i/>
          <w:iCs/>
        </w:rPr>
        <w:t>improving air quality and public health; and</w:t>
      </w:r>
    </w:p>
    <w:p w14:paraId="1C181E77" w14:textId="77777777" w:rsidR="00797DDE" w:rsidRPr="00D615CF" w:rsidRDefault="00797DDE" w:rsidP="00797DDE">
      <w:pPr>
        <w:pStyle w:val="ListParagraph"/>
        <w:numPr>
          <w:ilvl w:val="0"/>
          <w:numId w:val="30"/>
        </w:numPr>
        <w:rPr>
          <w:i/>
          <w:iCs/>
        </w:rPr>
      </w:pPr>
      <w:r w:rsidRPr="00D615CF">
        <w:rPr>
          <w:i/>
          <w:iCs/>
        </w:rPr>
        <w:lastRenderedPageBreak/>
        <w:t>connecting people to education, jobs and other opportunities.</w:t>
      </w:r>
      <w:r>
        <w:rPr>
          <w:i/>
          <w:iCs/>
        </w:rPr>
        <w:t>”</w:t>
      </w:r>
    </w:p>
    <w:p w14:paraId="64556C15" w14:textId="77777777" w:rsidR="00797DDE" w:rsidRDefault="00797DDE" w:rsidP="00797DDE">
      <w:pPr>
        <w:pStyle w:val="Heading4"/>
      </w:pPr>
      <w:r>
        <w:t>Zero Emission Vehicle Strategy 2023</w:t>
      </w:r>
    </w:p>
    <w:p w14:paraId="3C204BF4" w14:textId="0A0D4725" w:rsidR="00797DDE" w:rsidRDefault="00797DDE" w:rsidP="00797DDE">
      <w:r>
        <w:t>The North East Zero Emission Vehicle Strategy aims to create excellent infrastructure and well-informed people, who can access the right charge</w:t>
      </w:r>
      <w:r w:rsidR="000703B6">
        <w:t xml:space="preserve"> </w:t>
      </w:r>
      <w:r>
        <w:t>points and information when they need it, with the aim to leading to an increase in Zero Emission Vehicles (ZEV), and a reduction in carbon emissions across the region</w:t>
      </w:r>
      <w:r>
        <w:rPr>
          <w:rStyle w:val="FootnoteReference"/>
        </w:rPr>
        <w:footnoteReference w:id="34"/>
      </w:r>
      <w:r>
        <w:t xml:space="preserve">. </w:t>
      </w:r>
    </w:p>
    <w:p w14:paraId="3E0E9FD0" w14:textId="77777777" w:rsidR="00797DDE" w:rsidRDefault="00797DDE" w:rsidP="00797DDE">
      <w:r>
        <w:t xml:space="preserve">Before this strategy was approved in December 2023, the North East Joint Transport Committee approved the first regionwide Zero Emission Vehicle Policy in March 2022. This is an outline of the region’s aim to lead the country in boosting the up-take of Electric Vehicles (EV) by developing and expanding charging facilities. </w:t>
      </w:r>
    </w:p>
    <w:p w14:paraId="5215D60A" w14:textId="77777777" w:rsidR="00797DDE" w:rsidRDefault="00797DDE" w:rsidP="00797DDE">
      <w:r>
        <w:t>The delivery of this strategy will help ensure that future public ZEV infrastructure projects:</w:t>
      </w:r>
    </w:p>
    <w:p w14:paraId="2AC1118E" w14:textId="77777777" w:rsidR="00797DDE" w:rsidRPr="00D615CF" w:rsidRDefault="00797DDE" w:rsidP="00797DDE">
      <w:pPr>
        <w:rPr>
          <w:i/>
          <w:iCs/>
        </w:rPr>
      </w:pPr>
      <w:r w:rsidRPr="00D615CF">
        <w:rPr>
          <w:i/>
          <w:iCs/>
        </w:rPr>
        <w:t>“are actively promoted, highlighting the benefits to the region, such as reduced CO</w:t>
      </w:r>
      <w:r w:rsidRPr="00D615CF">
        <w:rPr>
          <w:i/>
          <w:iCs/>
          <w:vertAlign w:val="subscript"/>
        </w:rPr>
        <w:t>2</w:t>
      </w:r>
      <w:r w:rsidRPr="00D615CF">
        <w:rPr>
          <w:i/>
          <w:iCs/>
        </w:rPr>
        <w:t xml:space="preserve"> emissions and improved air quality through the complete removal of localised and toxic tailpipe emissions.”</w:t>
      </w:r>
    </w:p>
    <w:p w14:paraId="4BCB38D8" w14:textId="77777777" w:rsidR="00797DDE" w:rsidRDefault="00797DDE" w:rsidP="00797DDE">
      <w:pPr>
        <w:pStyle w:val="Heading4"/>
      </w:pPr>
      <w:r>
        <w:t>Rail and Metro Strategy</w:t>
      </w:r>
    </w:p>
    <w:p w14:paraId="4E50A284" w14:textId="77777777" w:rsidR="00797DDE" w:rsidRDefault="00797DDE" w:rsidP="00797DDE">
      <w:r>
        <w:t xml:space="preserve">The Rail and Metro Strategy outlines the future of rail and Metro in the region with the overall vision to </w:t>
      </w:r>
      <w:r w:rsidRPr="00D615CF">
        <w:rPr>
          <w:i/>
          <w:iCs/>
        </w:rPr>
        <w:t>“moving to a green, health, dynamic and thriving North East</w:t>
      </w:r>
      <w:r>
        <w:rPr>
          <w:i/>
          <w:iCs/>
        </w:rPr>
        <w:t>”</w:t>
      </w:r>
      <w:r>
        <w:rPr>
          <w:rStyle w:val="FootnoteReference"/>
          <w:i/>
          <w:iCs/>
        </w:rPr>
        <w:footnoteReference w:id="35"/>
      </w:r>
      <w:r>
        <w:t xml:space="preserve">. </w:t>
      </w:r>
    </w:p>
    <w:p w14:paraId="067778F3" w14:textId="77777777" w:rsidR="00797DDE" w:rsidRDefault="00797DDE" w:rsidP="00797DDE">
      <w:r>
        <w:t>Some of the key commitments indirectly related to air quality are:</w:t>
      </w:r>
    </w:p>
    <w:p w14:paraId="3067B155" w14:textId="77777777" w:rsidR="00797DDE" w:rsidRPr="00D615CF" w:rsidRDefault="00797DDE" w:rsidP="00797DDE">
      <w:pPr>
        <w:pStyle w:val="ListParagraph"/>
        <w:numPr>
          <w:ilvl w:val="0"/>
          <w:numId w:val="31"/>
        </w:numPr>
        <w:rPr>
          <w:i/>
          <w:iCs/>
        </w:rPr>
      </w:pPr>
      <w:r w:rsidRPr="00D615CF">
        <w:rPr>
          <w:i/>
          <w:iCs/>
        </w:rPr>
        <w:t>“Further deliver improved energy efficiency and encourage mode shift from cars to enable more people to travel sustainably”;</w:t>
      </w:r>
    </w:p>
    <w:p w14:paraId="150AE66B" w14:textId="77777777" w:rsidR="00797DDE" w:rsidRPr="00D615CF" w:rsidRDefault="00797DDE" w:rsidP="00797DDE">
      <w:pPr>
        <w:pStyle w:val="ListParagraph"/>
        <w:numPr>
          <w:ilvl w:val="0"/>
          <w:numId w:val="31"/>
        </w:numPr>
        <w:rPr>
          <w:i/>
          <w:iCs/>
        </w:rPr>
      </w:pPr>
      <w:r w:rsidRPr="00D615CF">
        <w:rPr>
          <w:i/>
          <w:iCs/>
        </w:rPr>
        <w:lastRenderedPageBreak/>
        <w:t>“Improve the customer experience through refurbished and enhanced stations, passenger information and integration with the wide public transport network”;</w:t>
      </w:r>
    </w:p>
    <w:p w14:paraId="5E3656DC" w14:textId="77777777" w:rsidR="00797DDE" w:rsidRPr="00D615CF" w:rsidRDefault="00797DDE" w:rsidP="00797DDE">
      <w:pPr>
        <w:pStyle w:val="ListParagraph"/>
        <w:numPr>
          <w:ilvl w:val="0"/>
          <w:numId w:val="31"/>
        </w:numPr>
        <w:rPr>
          <w:i/>
          <w:iCs/>
        </w:rPr>
      </w:pPr>
      <w:r w:rsidRPr="00D615CF">
        <w:rPr>
          <w:i/>
          <w:iCs/>
        </w:rPr>
        <w:t>“Increasing the number of people travelling on rail and Metro in preference to the private car”;</w:t>
      </w:r>
    </w:p>
    <w:p w14:paraId="65AF1468" w14:textId="77777777" w:rsidR="00797DDE" w:rsidRPr="00D615CF" w:rsidRDefault="00797DDE" w:rsidP="00797DDE">
      <w:pPr>
        <w:pStyle w:val="ListParagraph"/>
        <w:numPr>
          <w:ilvl w:val="0"/>
          <w:numId w:val="31"/>
        </w:numPr>
        <w:rPr>
          <w:i/>
          <w:iCs/>
        </w:rPr>
      </w:pPr>
      <w:r w:rsidRPr="00D615CF">
        <w:rPr>
          <w:i/>
          <w:iCs/>
        </w:rPr>
        <w:t>“Increasing the share of goods transported by rail”;</w:t>
      </w:r>
    </w:p>
    <w:p w14:paraId="08AEB57F" w14:textId="77777777" w:rsidR="00797DDE" w:rsidRPr="00D615CF" w:rsidRDefault="00797DDE" w:rsidP="00797DDE">
      <w:pPr>
        <w:pStyle w:val="ListParagraph"/>
        <w:numPr>
          <w:ilvl w:val="0"/>
          <w:numId w:val="31"/>
        </w:numPr>
        <w:rPr>
          <w:i/>
          <w:iCs/>
        </w:rPr>
      </w:pPr>
      <w:r w:rsidRPr="00D615CF">
        <w:rPr>
          <w:i/>
          <w:iCs/>
        </w:rPr>
        <w:t>“Introducing new trains, more efficient electric ones on the Metro and electric / battery/ hydrogen ones on local rail and modal shift from road to rail on freight”;</w:t>
      </w:r>
    </w:p>
    <w:p w14:paraId="31758934" w14:textId="77777777" w:rsidR="00797DDE" w:rsidRPr="00D615CF" w:rsidRDefault="00797DDE" w:rsidP="00797DDE">
      <w:pPr>
        <w:pStyle w:val="ListParagraph"/>
        <w:numPr>
          <w:ilvl w:val="0"/>
          <w:numId w:val="31"/>
        </w:numPr>
        <w:rPr>
          <w:i/>
          <w:iCs/>
        </w:rPr>
      </w:pPr>
      <w:r w:rsidRPr="00D615CF">
        <w:rPr>
          <w:i/>
          <w:iCs/>
        </w:rPr>
        <w:t>“Improving walking and cycling links to existing and new stations”; and</w:t>
      </w:r>
    </w:p>
    <w:p w14:paraId="051D4EFC" w14:textId="77777777" w:rsidR="00797DDE" w:rsidRPr="00D615CF" w:rsidRDefault="00797DDE" w:rsidP="00797DDE">
      <w:pPr>
        <w:pStyle w:val="ListParagraph"/>
        <w:numPr>
          <w:ilvl w:val="0"/>
          <w:numId w:val="31"/>
        </w:numPr>
        <w:rPr>
          <w:i/>
          <w:iCs/>
        </w:rPr>
      </w:pPr>
      <w:r w:rsidRPr="00D615CF">
        <w:rPr>
          <w:i/>
          <w:iCs/>
        </w:rPr>
        <w:t xml:space="preserve">“Increasing the number of people travelling on rail and Metro in preference to the private car”. </w:t>
      </w:r>
    </w:p>
    <w:p w14:paraId="279E9359" w14:textId="6F067158" w:rsidR="00797DDE" w:rsidRDefault="00F914C6" w:rsidP="00F914C6">
      <w:pPr>
        <w:pStyle w:val="Style2"/>
      </w:pPr>
      <w:bookmarkStart w:id="168" w:name="_Toc222131893"/>
      <w:r>
        <w:t>C.3 Local Planning and Policy Context</w:t>
      </w:r>
      <w:bookmarkEnd w:id="168"/>
    </w:p>
    <w:p w14:paraId="645BCF85" w14:textId="585333D6" w:rsidR="00F914C6" w:rsidRDefault="00F914C6" w:rsidP="00F914C6">
      <w:pPr>
        <w:pStyle w:val="Heading4"/>
      </w:pPr>
      <w:r>
        <w:t>Local Plan</w:t>
      </w:r>
    </w:p>
    <w:p w14:paraId="31350F03" w14:textId="23FE1F9A" w:rsidR="00F914C6" w:rsidRDefault="00F914C6" w:rsidP="00F914C6">
      <w:r>
        <w:t xml:space="preserve">Gateshead and Newcastle Councils are currently in the process of preparing a new joint </w:t>
      </w:r>
      <w:r w:rsidR="00A86D34">
        <w:t>L</w:t>
      </w:r>
      <w:r>
        <w:t xml:space="preserve">ocal </w:t>
      </w:r>
      <w:r w:rsidR="00A86D34">
        <w:t>P</w:t>
      </w:r>
      <w:r>
        <w:t>lan</w:t>
      </w:r>
      <w:r w:rsidR="00A86D34">
        <w:t>.</w:t>
      </w:r>
      <w:r>
        <w:t xml:space="preserve"> </w:t>
      </w:r>
      <w:r w:rsidR="00A86D34">
        <w:t>C</w:t>
      </w:r>
      <w:r>
        <w:t>entral government is keen to bring forward partnership working between Local Planning Authorities and Combined Authorities</w:t>
      </w:r>
      <w:r>
        <w:rPr>
          <w:rStyle w:val="FootnoteReference"/>
        </w:rPr>
        <w:footnoteReference w:id="36"/>
      </w:r>
      <w:r>
        <w:t>.</w:t>
      </w:r>
      <w:r w:rsidR="004573FE">
        <w:t xml:space="preserve"> </w:t>
      </w:r>
    </w:p>
    <w:p w14:paraId="5B8DBCEE" w14:textId="026E8896" w:rsidR="00F914C6" w:rsidRDefault="00F914C6" w:rsidP="00F914C6">
      <w:r>
        <w:t xml:space="preserve">The current Local Plan is a collection of documents that guides future development in Newcastle to 2030 which consist of two parts: the </w:t>
      </w:r>
      <w:r w:rsidR="00A86D34">
        <w:t>C</w:t>
      </w:r>
      <w:r>
        <w:t xml:space="preserve">ore </w:t>
      </w:r>
      <w:r w:rsidR="00A86D34">
        <w:t>S</w:t>
      </w:r>
      <w:r>
        <w:t xml:space="preserve">trategy and </w:t>
      </w:r>
      <w:r w:rsidR="00A86D34">
        <w:t>U</w:t>
      </w:r>
      <w:r>
        <w:t xml:space="preserve">rban </w:t>
      </w:r>
      <w:r w:rsidR="00A86D34">
        <w:t>C</w:t>
      </w:r>
      <w:r>
        <w:t xml:space="preserve">ore </w:t>
      </w:r>
      <w:r w:rsidR="00A86D34">
        <w:t>P</w:t>
      </w:r>
      <w:r>
        <w:t xml:space="preserve">lan (CSUP), and the </w:t>
      </w:r>
      <w:r w:rsidR="00A86D34">
        <w:t>D</w:t>
      </w:r>
      <w:r>
        <w:t xml:space="preserve">evelopment and </w:t>
      </w:r>
      <w:r w:rsidR="00A86D34">
        <w:t>A</w:t>
      </w:r>
      <w:r>
        <w:t xml:space="preserve">llocation </w:t>
      </w:r>
      <w:r w:rsidR="00A86D34">
        <w:t>P</w:t>
      </w:r>
      <w:r>
        <w:t xml:space="preserve">lan (DAP). </w:t>
      </w:r>
    </w:p>
    <w:p w14:paraId="6795E44E" w14:textId="657A9990" w:rsidR="00F914C6" w:rsidRDefault="00F914C6" w:rsidP="00F914C6">
      <w:r w:rsidRPr="005868EE">
        <w:t>The Core Strategy and Urban Core Plan</w:t>
      </w:r>
      <w:r>
        <w:t xml:space="preserve"> 2010 - 2030</w:t>
      </w:r>
      <w:r w:rsidRPr="005868EE">
        <w:t xml:space="preserve"> (CSUCP) is a strategic planning framework that guide</w:t>
      </w:r>
      <w:r>
        <w:t>s</w:t>
      </w:r>
      <w:r w:rsidRPr="005868EE">
        <w:t xml:space="preserve"> development in Newcastle and Gateshead to 2030. It is the first part of </w:t>
      </w:r>
      <w:r w:rsidR="00A86D34">
        <w:t>the</w:t>
      </w:r>
      <w:r w:rsidR="00A86D34" w:rsidRPr="005868EE">
        <w:t xml:space="preserve"> </w:t>
      </w:r>
      <w:r w:rsidRPr="005868EE">
        <w:t xml:space="preserve">councils Local Plan, containing an overall vision and spatial strategy to deliver economic prosperity and create lifetime neighbourhoods. The Plan covers the whole of the area within the administrative boundaries of Gateshead and </w:t>
      </w:r>
      <w:r w:rsidRPr="005868EE">
        <w:lastRenderedPageBreak/>
        <w:t>Newcastle and includes strategic policies and specific policies for the Urban Core, Sub-Areas and sites</w:t>
      </w:r>
      <w:r w:rsidRPr="005868EE">
        <w:rPr>
          <w:rFonts w:cs="Arial"/>
        </w:rPr>
        <w:t>.</w:t>
      </w:r>
      <w:r w:rsidRPr="005868EE">
        <w:rPr>
          <w:rFonts w:cs="Arial"/>
          <w:color w:val="212529"/>
          <w:shd w:val="clear" w:color="auto" w:fill="FFFFFF"/>
        </w:rPr>
        <w:t xml:space="preserve"> T</w:t>
      </w:r>
      <w:r w:rsidRPr="005868EE">
        <w:rPr>
          <w:rFonts w:cs="Arial"/>
        </w:rPr>
        <w:t>he Plan</w:t>
      </w:r>
      <w:r w:rsidRPr="005868EE">
        <w:t xml:space="preserve"> was formally adopted by Newcastle City Council </w:t>
      </w:r>
      <w:r>
        <w:t>in</w:t>
      </w:r>
      <w:r w:rsidRPr="005868EE">
        <w:t xml:space="preserve"> March 2015</w:t>
      </w:r>
      <w:r>
        <w:t>.</w:t>
      </w:r>
    </w:p>
    <w:p w14:paraId="7C64691C" w14:textId="77777777" w:rsidR="00F914C6" w:rsidRDefault="00F914C6" w:rsidP="00F914C6">
      <w:r>
        <w:t>Air Quality is discussed under policy CS14 Wellbeing and Health:</w:t>
      </w:r>
    </w:p>
    <w:p w14:paraId="33216324" w14:textId="77777777" w:rsidR="00F914C6" w:rsidRPr="009C76F9" w:rsidRDefault="00F914C6" w:rsidP="00F914C6">
      <w:pPr>
        <w:rPr>
          <w:i/>
          <w:iCs/>
        </w:rPr>
      </w:pPr>
      <w:r>
        <w:t>“</w:t>
      </w:r>
      <w:r w:rsidRPr="009C76F9">
        <w:rPr>
          <w:i/>
          <w:iCs/>
        </w:rPr>
        <w:t>The wellbeing and health of communities will be maintained and improved by:</w:t>
      </w:r>
    </w:p>
    <w:p w14:paraId="22E51B3F" w14:textId="77777777" w:rsidR="00F914C6" w:rsidRPr="009C76F9" w:rsidRDefault="00F914C6" w:rsidP="00F914C6">
      <w:pPr>
        <w:pStyle w:val="ListParagraph"/>
        <w:numPr>
          <w:ilvl w:val="0"/>
          <w:numId w:val="23"/>
        </w:numPr>
        <w:rPr>
          <w:i/>
          <w:iCs/>
        </w:rPr>
      </w:pPr>
      <w:r w:rsidRPr="009C76F9">
        <w:rPr>
          <w:i/>
          <w:iCs/>
        </w:rPr>
        <w:t>Requiring development to contribute to creating an age friendly, healthy and equitable living environment through:</w:t>
      </w:r>
    </w:p>
    <w:p w14:paraId="4A52F815" w14:textId="77777777" w:rsidR="00F914C6" w:rsidRPr="009C76F9" w:rsidRDefault="00F914C6" w:rsidP="00F914C6">
      <w:pPr>
        <w:pStyle w:val="ListParagraph"/>
        <w:rPr>
          <w:i/>
          <w:iCs/>
        </w:rPr>
      </w:pPr>
      <w:r w:rsidRPr="009C76F9">
        <w:rPr>
          <w:i/>
          <w:iCs/>
        </w:rPr>
        <w:t>[…]</w:t>
      </w:r>
    </w:p>
    <w:p w14:paraId="6C04204F" w14:textId="77777777" w:rsidR="00F914C6" w:rsidRPr="009C76F9" w:rsidRDefault="00F914C6" w:rsidP="00F914C6">
      <w:pPr>
        <w:pStyle w:val="ListParagraph"/>
        <w:numPr>
          <w:ilvl w:val="1"/>
          <w:numId w:val="23"/>
        </w:numPr>
        <w:rPr>
          <w:i/>
          <w:iCs/>
        </w:rPr>
      </w:pPr>
      <w:r w:rsidRPr="009C76F9">
        <w:rPr>
          <w:i/>
          <w:iCs/>
        </w:rPr>
        <w:t xml:space="preserve">Preventing negative impacts on residential amenity and wider public safety from noise, ground instability, ground and water contamination, vibration and air quality, </w:t>
      </w:r>
    </w:p>
    <w:p w14:paraId="75585901" w14:textId="77777777" w:rsidR="00F914C6" w:rsidRPr="00C5525E" w:rsidRDefault="00F914C6" w:rsidP="00F914C6">
      <w:pPr>
        <w:pStyle w:val="ListParagraph"/>
        <w:ind w:left="1440"/>
        <w:rPr>
          <w:i/>
          <w:iCs/>
        </w:rPr>
      </w:pPr>
      <w:r w:rsidRPr="009C76F9">
        <w:rPr>
          <w:i/>
          <w:iCs/>
        </w:rPr>
        <w:t>[…]</w:t>
      </w:r>
      <w:r>
        <w:rPr>
          <w:i/>
          <w:iCs/>
        </w:rPr>
        <w:t>”</w:t>
      </w:r>
    </w:p>
    <w:p w14:paraId="595B6131" w14:textId="77777777" w:rsidR="00F914C6" w:rsidRDefault="00F914C6" w:rsidP="00F914C6">
      <w:r w:rsidRPr="005868EE">
        <w:t>The Development and Allocations Plan</w:t>
      </w:r>
      <w:r>
        <w:t xml:space="preserve"> 2015 - 2030</w:t>
      </w:r>
      <w:r w:rsidRPr="005868EE">
        <w:t xml:space="preserve"> (DAP)</w:t>
      </w:r>
      <w:r>
        <w:t xml:space="preserve"> provides more detailed policies to support growth ambitions for Newcastle including: </w:t>
      </w:r>
    </w:p>
    <w:p w14:paraId="21AC68F3" w14:textId="77777777" w:rsidR="00F914C6" w:rsidRPr="005868EE" w:rsidRDefault="00F914C6" w:rsidP="00F914C6">
      <w:pPr>
        <w:numPr>
          <w:ilvl w:val="0"/>
          <w:numId w:val="22"/>
        </w:numPr>
      </w:pPr>
      <w:r w:rsidRPr="005868EE">
        <w:t>Policies which will be used to make decisions on planning applications</w:t>
      </w:r>
      <w:r>
        <w:t>;</w:t>
      </w:r>
    </w:p>
    <w:p w14:paraId="6E42E514" w14:textId="77777777" w:rsidR="00F914C6" w:rsidRPr="005868EE" w:rsidRDefault="00F914C6" w:rsidP="00F914C6">
      <w:pPr>
        <w:numPr>
          <w:ilvl w:val="0"/>
          <w:numId w:val="22"/>
        </w:numPr>
      </w:pPr>
      <w:r w:rsidRPr="005868EE">
        <w:t xml:space="preserve">Allocations of housing and employment sites to support </w:t>
      </w:r>
      <w:r>
        <w:t>the DSUCP; and</w:t>
      </w:r>
    </w:p>
    <w:p w14:paraId="175B0FF4" w14:textId="77777777" w:rsidR="00F914C6" w:rsidRPr="005868EE" w:rsidRDefault="00F914C6" w:rsidP="00F914C6">
      <w:pPr>
        <w:numPr>
          <w:ilvl w:val="0"/>
          <w:numId w:val="22"/>
        </w:numPr>
      </w:pPr>
      <w:r w:rsidRPr="005868EE">
        <w:t>Designations of retail centre boundaries and sites for environmental protection</w:t>
      </w:r>
      <w:r>
        <w:t>.</w:t>
      </w:r>
    </w:p>
    <w:p w14:paraId="1B7FB578" w14:textId="77777777" w:rsidR="00F914C6" w:rsidRDefault="00F914C6" w:rsidP="00F914C6">
      <w:r w:rsidRPr="005868EE">
        <w:t xml:space="preserve">The Development and Allocations Plan was formally adopted by Newcastle City Council </w:t>
      </w:r>
      <w:r>
        <w:t xml:space="preserve">in June 2020. </w:t>
      </w:r>
    </w:p>
    <w:p w14:paraId="0D618E6B" w14:textId="77777777" w:rsidR="00F914C6" w:rsidRDefault="00F914C6" w:rsidP="00F914C6">
      <w:r>
        <w:t>Air Quality is discussed under policy DM24 Environmental and Health Impacts of Development:</w:t>
      </w:r>
    </w:p>
    <w:p w14:paraId="72A15FD5" w14:textId="77777777" w:rsidR="00F914C6" w:rsidRPr="00C5525E" w:rsidRDefault="00F914C6" w:rsidP="00F914C6">
      <w:pPr>
        <w:rPr>
          <w:i/>
          <w:iCs/>
        </w:rPr>
      </w:pPr>
      <w:r w:rsidRPr="00C5525E">
        <w:rPr>
          <w:i/>
          <w:iCs/>
        </w:rPr>
        <w:t>“ Proposals will be required to demonstrate that there is no unacceptable adverse environmental and health impacts (including cumulative impacts) from the development. To achieve this development must assess and mitigate the following environmental and health impacts:</w:t>
      </w:r>
    </w:p>
    <w:p w14:paraId="33E65ABA" w14:textId="77777777" w:rsidR="00F914C6" w:rsidRPr="00C5525E" w:rsidRDefault="00F914C6" w:rsidP="00F914C6">
      <w:pPr>
        <w:pStyle w:val="ListParagraph"/>
        <w:numPr>
          <w:ilvl w:val="0"/>
          <w:numId w:val="24"/>
        </w:numPr>
        <w:rPr>
          <w:i/>
          <w:iCs/>
        </w:rPr>
      </w:pPr>
      <w:r w:rsidRPr="00C5525E">
        <w:rPr>
          <w:i/>
          <w:iCs/>
        </w:rPr>
        <w:t>Air quality and the opportunities to improve air quality;</w:t>
      </w:r>
    </w:p>
    <w:p w14:paraId="27335E39" w14:textId="77777777" w:rsidR="00F914C6" w:rsidRPr="00C5525E" w:rsidRDefault="00F914C6" w:rsidP="00F914C6">
      <w:pPr>
        <w:pStyle w:val="ListParagraph"/>
        <w:ind w:left="1440"/>
        <w:rPr>
          <w:i/>
          <w:iCs/>
        </w:rPr>
      </w:pPr>
      <w:r w:rsidRPr="00C5525E">
        <w:rPr>
          <w:i/>
          <w:iCs/>
        </w:rPr>
        <w:t>[…]</w:t>
      </w:r>
      <w:r>
        <w:rPr>
          <w:i/>
          <w:iCs/>
        </w:rPr>
        <w:t>”</w:t>
      </w:r>
    </w:p>
    <w:p w14:paraId="78B28393" w14:textId="77777777" w:rsidR="00F914C6" w:rsidRDefault="00F914C6" w:rsidP="00F914C6">
      <w:r>
        <w:lastRenderedPageBreak/>
        <w:t>Air Quality is also discussed under policy DM32 Minerals Extraction and Reclamation:</w:t>
      </w:r>
    </w:p>
    <w:p w14:paraId="736E9A8E" w14:textId="77777777" w:rsidR="00F914C6" w:rsidRPr="00C5525E" w:rsidRDefault="00F914C6" w:rsidP="00F914C6">
      <w:pPr>
        <w:rPr>
          <w:i/>
          <w:iCs/>
        </w:rPr>
      </w:pPr>
      <w:r w:rsidRPr="00C5525E">
        <w:rPr>
          <w:i/>
          <w:iCs/>
        </w:rPr>
        <w:t>“Development of minerals operations will only be supported where it can be demonstrated that all material social, economic and environmental impacts that would cause demonstrable harm to the natural and historic environment or human health can be acceptably mitigated. Proposals will need to demonstrate no unacceptable adverse impact on:</w:t>
      </w:r>
    </w:p>
    <w:p w14:paraId="752C3909" w14:textId="77777777" w:rsidR="00F914C6" w:rsidRPr="00C5525E" w:rsidRDefault="00F914C6" w:rsidP="00F914C6">
      <w:pPr>
        <w:rPr>
          <w:i/>
          <w:iCs/>
        </w:rPr>
      </w:pPr>
      <w:r w:rsidRPr="00C5525E">
        <w:rPr>
          <w:i/>
          <w:iCs/>
        </w:rPr>
        <w:t>[…]</w:t>
      </w:r>
    </w:p>
    <w:p w14:paraId="3C950D6C" w14:textId="77777777" w:rsidR="00F914C6" w:rsidRPr="00C5525E" w:rsidRDefault="00F914C6" w:rsidP="00F914C6">
      <w:pPr>
        <w:pStyle w:val="ListParagraph"/>
        <w:numPr>
          <w:ilvl w:val="0"/>
          <w:numId w:val="25"/>
        </w:numPr>
        <w:rPr>
          <w:i/>
          <w:iCs/>
        </w:rPr>
      </w:pPr>
      <w:r w:rsidRPr="00C5525E">
        <w:rPr>
          <w:i/>
          <w:iCs/>
        </w:rPr>
        <w:t>Air quality;</w:t>
      </w:r>
    </w:p>
    <w:p w14:paraId="3D30CB84" w14:textId="77777777" w:rsidR="00F914C6" w:rsidRDefault="00F914C6" w:rsidP="00F914C6">
      <w:pPr>
        <w:pStyle w:val="ListParagraph"/>
        <w:ind w:left="1440"/>
        <w:rPr>
          <w:i/>
          <w:iCs/>
        </w:rPr>
      </w:pPr>
      <w:r w:rsidRPr="00C5525E">
        <w:rPr>
          <w:i/>
          <w:iCs/>
        </w:rPr>
        <w:t>[…]</w:t>
      </w:r>
      <w:r>
        <w:rPr>
          <w:i/>
          <w:iCs/>
        </w:rPr>
        <w:t>”</w:t>
      </w:r>
    </w:p>
    <w:p w14:paraId="6537B4CE" w14:textId="77777777" w:rsidR="00F914C6" w:rsidRDefault="00F914C6" w:rsidP="00F914C6">
      <w:pPr>
        <w:pStyle w:val="Heading4"/>
      </w:pPr>
      <w:r>
        <w:t>Newcastle Movement Strategy (emerging)</w:t>
      </w:r>
    </w:p>
    <w:p w14:paraId="25204118" w14:textId="77777777" w:rsidR="00F914C6" w:rsidRDefault="00F914C6" w:rsidP="00F914C6">
      <w:r>
        <w:t>Newcastle is currently developing the Movement Strategy which will be presented to Cabinet in summer 2025</w:t>
      </w:r>
      <w:r>
        <w:rPr>
          <w:rStyle w:val="FootnoteReference"/>
        </w:rPr>
        <w:footnoteReference w:id="37"/>
      </w:r>
      <w:r>
        <w:t xml:space="preserve">. </w:t>
      </w:r>
    </w:p>
    <w:p w14:paraId="616DEBAA" w14:textId="77777777" w:rsidR="00F914C6" w:rsidRDefault="00F914C6" w:rsidP="00F914C6">
      <w:r w:rsidRPr="00590FFC">
        <w:t>The Movement Strategy for Newcastle will supplement the North East Transport Plan, the North East Combined Authority’s core strategy for transport, which sets out the regional ambitions up to 2040 as well as Newcastle and Gateshead’s Local Plan, which sets out how wider development and planning policy will help to shape the city in the coming years.</w:t>
      </w:r>
    </w:p>
    <w:p w14:paraId="50F6D091" w14:textId="77777777" w:rsidR="00F914C6" w:rsidRPr="00590FFC" w:rsidRDefault="00F914C6" w:rsidP="00F914C6">
      <w:r>
        <w:t xml:space="preserve">The Movement Strategy will guide transport development until 2045, creating a transport network that is efficient, safe, accessible and inclusive. One focus point is to improve the wider environment by reducing Newcastle’s carbon footprint. </w:t>
      </w:r>
    </w:p>
    <w:p w14:paraId="69A20BAD" w14:textId="77777777" w:rsidR="00F914C6" w:rsidRDefault="00F914C6" w:rsidP="00F914C6">
      <w:pPr>
        <w:pStyle w:val="Heading4"/>
      </w:pPr>
      <w:r>
        <w:lastRenderedPageBreak/>
        <w:t>Newcastle Green Infrastructure Strategy</w:t>
      </w:r>
    </w:p>
    <w:p w14:paraId="08A6CDDC" w14:textId="77777777" w:rsidR="00F914C6" w:rsidRDefault="00F914C6" w:rsidP="00F914C6">
      <w:r>
        <w:t>Newcastle produced a Green Infrastructure Strategy in October 2022 which updates the previous strategy from 2011</w:t>
      </w:r>
      <w:r>
        <w:rPr>
          <w:rStyle w:val="FootnoteReference"/>
        </w:rPr>
        <w:footnoteReference w:id="38"/>
      </w:r>
      <w:r>
        <w:t>. The Strategy supplements the Local Plan, and reviews and identities the strategic provision of Green Infrastructure which includes open space within the city. Green Infrastructure can have multiple benefits such as clean air. While air quality is not explicitly mentioned within the objectives of the Green Infrastructure Strategy, air quality is part of the vision:</w:t>
      </w:r>
    </w:p>
    <w:p w14:paraId="02341484" w14:textId="77777777" w:rsidR="00F914C6" w:rsidRDefault="00F914C6" w:rsidP="00F914C6">
      <w:pPr>
        <w:rPr>
          <w:i/>
          <w:iCs/>
        </w:rPr>
      </w:pPr>
      <w:r w:rsidRPr="00C50A51">
        <w:rPr>
          <w:i/>
          <w:iCs/>
        </w:rPr>
        <w:t>“Our green infrastructure has the potential to offer multiple benefits for people and wildlife. We have a huge challenge in terms of climate change, and green infrastructure has an extremely important role in cooling the urban environment, reducing temperatures by planting large canopy trees, which in turn will improve the air quality. It will play an important role in the Council’s plans to be carbon neutral by 2030. In the context of the global climate emergency, biodiversity loss and health inequalities, investment in the provision of high quality, biodiverse and accessible green and blue infrastructure has never been more vital. Our city will become more equitable, liveable, and resilient by making Newcastle a greener and healthier place.”</w:t>
      </w:r>
    </w:p>
    <w:p w14:paraId="6D94D035" w14:textId="77777777" w:rsidR="00F914C6" w:rsidRDefault="00F914C6" w:rsidP="00F914C6">
      <w:pPr>
        <w:pStyle w:val="Heading4"/>
      </w:pPr>
      <w:r>
        <w:t>Net Zero Newcastle 2030 action plan</w:t>
      </w:r>
    </w:p>
    <w:p w14:paraId="01047EFD" w14:textId="77777777" w:rsidR="00F914C6" w:rsidRDefault="00F914C6" w:rsidP="00F914C6">
      <w:r>
        <w:t>This Action Plan presents Newcastle’s view of how the city can achieve its ambition to be Net Zero carbon by 2030</w:t>
      </w:r>
      <w:r>
        <w:rPr>
          <w:rStyle w:val="FootnoteReference"/>
        </w:rPr>
        <w:footnoteReference w:id="39"/>
      </w:r>
      <w:r>
        <w:t>. The primary priority for Net Zero Newcastle is to focus on the immediate improvement to air quality that can be achieved by addressing harmful emissions by reducing the dominance of the private car on the city and facilitating a dramatic growth in active travel. The Priority Action T3 refers indirectly to air quality:</w:t>
      </w:r>
    </w:p>
    <w:p w14:paraId="24885B98" w14:textId="77777777" w:rsidR="00F914C6" w:rsidRDefault="00F914C6" w:rsidP="00F914C6">
      <w:pPr>
        <w:rPr>
          <w:i/>
          <w:iCs/>
        </w:rPr>
      </w:pPr>
      <w:r w:rsidRPr="005B4163">
        <w:rPr>
          <w:i/>
          <w:iCs/>
        </w:rPr>
        <w:lastRenderedPageBreak/>
        <w:t>“Systematically develop and implement plans to remove private motorized vehicles from the city centre, commercial districts and sensitive part of the city.”</w:t>
      </w:r>
    </w:p>
    <w:p w14:paraId="1E2EAC17" w14:textId="77777777" w:rsidR="00F914C6" w:rsidRDefault="00F914C6" w:rsidP="00F914C6">
      <w:pPr>
        <w:pStyle w:val="Heading4"/>
      </w:pPr>
      <w:r>
        <w:t>Smoke Control Area and Solid Fuel Enforcement Policy</w:t>
      </w:r>
    </w:p>
    <w:p w14:paraId="0B4A441D" w14:textId="3653EE83" w:rsidR="0098547A" w:rsidRDefault="00501C06" w:rsidP="00F914C6">
      <w:r>
        <w:t>This policy aims to guide residents and businesses on the legal use of solid fuels within Newcastle’s Smoke Control Area (SCA), to reduce air pollution and protect public health by controlling smoke emissions from chimneys, and to clarify enforcement procedures for breaches related to burning solid fuels and selling unauthorised fuels</w:t>
      </w:r>
      <w:r w:rsidR="0098547A">
        <w:rPr>
          <w:rStyle w:val="FootnoteReference"/>
        </w:rPr>
        <w:footnoteReference w:id="40"/>
      </w:r>
      <w:r>
        <w:t xml:space="preserve">. </w:t>
      </w:r>
    </w:p>
    <w:p w14:paraId="3DEF698F" w14:textId="3B28D5CD" w:rsidR="0098547A" w:rsidRDefault="0098547A" w:rsidP="00F914C6">
      <w:r>
        <w:t xml:space="preserve">Newcastle upon Tyne is entirely designated as a Smoke Control Area under the Clean Air Act 1993. Emitting smoke from a chimney is prohibited unless using authorised fuels or DEFRA-approved appliances. Unauthorised fuels (e.g. wood, coal) can only be used in exempt appliances. </w:t>
      </w:r>
    </w:p>
    <w:p w14:paraId="62E4970D" w14:textId="6C84D7E9" w:rsidR="0098547A" w:rsidRDefault="0098547A" w:rsidP="00F914C6">
      <w:r>
        <w:t>The policy supports cleaner air by reducing emissions of PM</w:t>
      </w:r>
      <w:r w:rsidRPr="00DF643F">
        <w:rPr>
          <w:vertAlign w:val="subscript"/>
        </w:rPr>
        <w:t>10</w:t>
      </w:r>
      <w:r>
        <w:t xml:space="preserve"> and PM</w:t>
      </w:r>
      <w:r w:rsidRPr="00DF643F">
        <w:rPr>
          <w:vertAlign w:val="subscript"/>
        </w:rPr>
        <w:t>2.5</w:t>
      </w:r>
      <w:r>
        <w:t xml:space="preserve"> which are harmful to health. It reduces risks of respiratory and cardiovascular issues linked to smoke pollution. Residents and businesses are held responsible for compliance, with financial penalties and potential prosecution for breaches, and local fuel suppliers must comply with strict standards, affecting how solid fuels are sold and marketed. </w:t>
      </w:r>
    </w:p>
    <w:p w14:paraId="53CE2B98" w14:textId="77777777" w:rsidR="00F914C6" w:rsidRDefault="00F914C6" w:rsidP="00F914C6">
      <w:pPr>
        <w:pStyle w:val="Heading4"/>
      </w:pPr>
      <w:r>
        <w:t>Health and Wellbeing Strategy 2023 – 2028</w:t>
      </w:r>
    </w:p>
    <w:p w14:paraId="276B4767" w14:textId="77777777" w:rsidR="00F914C6" w:rsidRDefault="00F914C6" w:rsidP="00F914C6">
      <w:r>
        <w:t>The</w:t>
      </w:r>
      <w:r w:rsidRPr="00606EB6">
        <w:t xml:space="preserve"> Health and Wellbeing Strategy is a high-level strategic plan for improving the health and wellbeing of </w:t>
      </w:r>
      <w:r>
        <w:t>the</w:t>
      </w:r>
      <w:r w:rsidRPr="00606EB6">
        <w:t xml:space="preserve"> local population</w:t>
      </w:r>
      <w:r>
        <w:rPr>
          <w:rStyle w:val="FootnoteReference"/>
        </w:rPr>
        <w:footnoteReference w:id="41"/>
      </w:r>
      <w:r>
        <w:t xml:space="preserve">. One of the ambitions is to create healthy and sustainable places and safe communities. </w:t>
      </w:r>
    </w:p>
    <w:p w14:paraId="599F0472" w14:textId="77777777" w:rsidR="00F914C6" w:rsidRDefault="00F914C6" w:rsidP="00F914C6">
      <w:r w:rsidRPr="00606EB6">
        <w:t xml:space="preserve">Actions to combat climate change, which benefit all, can improve health and aid recovery from the pandemic, in addition to preserving the planet in a liveable state. </w:t>
      </w:r>
      <w:r w:rsidRPr="00606EB6">
        <w:lastRenderedPageBreak/>
        <w:t>The impact of clean air, reducing emissions of greenhouse gases through better transport, food and energy use can result in improved physical and mental health amongst the population. In addition, many of the measures that can be taken to address climate change, through mitigation (reduction) of greenhouse gas emissions and adapting to the impacts of climate change, offer co-benefits for the health and wellbeing of residents. Some examples include improved mental health and wellbeing from a greener and cooler city through targeted urban tree planting programmes, improved air quality and health outcomes by supporting a shift in transport modal share towards active travel and Ultra Low Emission Vehicles, and significant inclusive economic growth</w:t>
      </w:r>
      <w:r>
        <w:t xml:space="preserve"> </w:t>
      </w:r>
      <w:r w:rsidRPr="00606EB6">
        <w:t>from the Net Zero transition.</w:t>
      </w:r>
    </w:p>
    <w:p w14:paraId="447A74F0" w14:textId="77777777" w:rsidR="00F914C6" w:rsidRDefault="00F914C6" w:rsidP="00F914C6">
      <w:r>
        <w:t>One of the actions to achieve healthy and sustainable places and safe communities is to</w:t>
      </w:r>
    </w:p>
    <w:p w14:paraId="3ACA570C" w14:textId="58CB8706" w:rsidR="00F914C6" w:rsidRDefault="00F914C6" w:rsidP="00F914C6">
      <w:pPr>
        <w:rPr>
          <w:i/>
          <w:iCs/>
        </w:rPr>
      </w:pPr>
      <w:r w:rsidRPr="000D3C89">
        <w:rPr>
          <w:i/>
          <w:iCs/>
        </w:rPr>
        <w:t>“</w:t>
      </w:r>
      <w:r>
        <w:rPr>
          <w:i/>
          <w:iCs/>
        </w:rPr>
        <w:t>A</w:t>
      </w:r>
      <w:r w:rsidRPr="000D3C89">
        <w:rPr>
          <w:i/>
          <w:iCs/>
        </w:rPr>
        <w:t>ctively support measures that deliver clean air and environmental improvements […]”</w:t>
      </w:r>
    </w:p>
    <w:p w14:paraId="3DCF3B5C" w14:textId="77777777" w:rsidR="0009489D" w:rsidRDefault="0009489D" w:rsidP="0009489D">
      <w:pPr>
        <w:pStyle w:val="Heading4"/>
      </w:pPr>
      <w:r>
        <w:t>Newcastle Council Plan 2024 – 2027</w:t>
      </w:r>
    </w:p>
    <w:p w14:paraId="52250692" w14:textId="0D5FAC2C" w:rsidR="0009489D" w:rsidRDefault="0009489D" w:rsidP="0009489D">
      <w:r>
        <w:t>The Council plan has two simple but fundamental purposes: it sets out the outcome the Council want for their residents and the city, and how the Council will strive to achieve them</w:t>
      </w:r>
      <w:r>
        <w:rPr>
          <w:rStyle w:val="FootnoteReference"/>
        </w:rPr>
        <w:footnoteReference w:id="42"/>
      </w:r>
      <w:r>
        <w:t xml:space="preserve">. </w:t>
      </w:r>
      <w:r w:rsidRPr="002858CF">
        <w:t xml:space="preserve">It is the foundation for the </w:t>
      </w:r>
      <w:r>
        <w:t>C</w:t>
      </w:r>
      <w:r w:rsidRPr="002858CF">
        <w:t>ouncil’s entire delivery framework, setting interconnected priority areas to direct and inform core strategies and delivery plans.</w:t>
      </w:r>
      <w:r>
        <w:t xml:space="preserve"> The three overarching priorities are inclusive economy, anti-poverty and net zero. Furthermore, there are six action areas such as infrastructure. The focus of infrastructure includes:</w:t>
      </w:r>
    </w:p>
    <w:p w14:paraId="7179FA2F" w14:textId="77777777" w:rsidR="0009489D" w:rsidRPr="000D3C89" w:rsidRDefault="0009489D" w:rsidP="0009489D">
      <w:pPr>
        <w:rPr>
          <w:i/>
          <w:iCs/>
        </w:rPr>
      </w:pPr>
      <w:r w:rsidRPr="000D3C89">
        <w:rPr>
          <w:i/>
          <w:iCs/>
        </w:rPr>
        <w:t>“Reducing transport emissions for a cleaner, greener Newcastle.”</w:t>
      </w:r>
    </w:p>
    <w:p w14:paraId="27EE5013" w14:textId="77777777" w:rsidR="0009489D" w:rsidRPr="00D04771" w:rsidRDefault="0009489D" w:rsidP="00F914C6">
      <w:pPr>
        <w:rPr>
          <w:i/>
          <w:iCs/>
        </w:rPr>
      </w:pPr>
    </w:p>
    <w:p w14:paraId="5AF0866F" w14:textId="46CDBA06" w:rsidR="00797DDE" w:rsidRPr="00797DDE" w:rsidRDefault="00797DDE" w:rsidP="00797DDE">
      <w:pPr>
        <w:sectPr w:rsidR="00797DDE" w:rsidRPr="00797DDE" w:rsidSect="00D04771">
          <w:pgSz w:w="11906" w:h="16838" w:code="9"/>
          <w:pgMar w:top="1474" w:right="1418" w:bottom="1134" w:left="1418" w:header="1134" w:footer="0" w:gutter="0"/>
          <w:cols w:space="708"/>
          <w:docGrid w:linePitch="360"/>
        </w:sectPr>
      </w:pPr>
    </w:p>
    <w:p w14:paraId="4D706B75" w14:textId="0D7A9F0B" w:rsidR="00D76D48" w:rsidRPr="00D76D48" w:rsidRDefault="00FC56B6" w:rsidP="00DF643F">
      <w:pPr>
        <w:pStyle w:val="appendix"/>
        <w:numPr>
          <w:ilvl w:val="0"/>
          <w:numId w:val="0"/>
        </w:numPr>
        <w:ind w:left="3"/>
      </w:pPr>
      <w:bookmarkStart w:id="169" w:name="_Toc88486008"/>
      <w:bookmarkStart w:id="170" w:name="_Toc141346903"/>
      <w:bookmarkStart w:id="171" w:name="_Toc222131894"/>
      <w:r w:rsidRPr="00FC56B6">
        <w:lastRenderedPageBreak/>
        <w:t>Glossary of Terms</w:t>
      </w:r>
      <w:bookmarkEnd w:id="169"/>
      <w:bookmarkEnd w:id="170"/>
      <w:bookmarkEnd w:id="171"/>
    </w:p>
    <w:tbl>
      <w:tblPr>
        <w:tblStyle w:val="LAQMReporting"/>
        <w:tblW w:w="9286" w:type="dxa"/>
        <w:tblLook w:val="04A0" w:firstRow="1" w:lastRow="0" w:firstColumn="1" w:lastColumn="0" w:noHBand="0" w:noVBand="1"/>
      </w:tblPr>
      <w:tblGrid>
        <w:gridCol w:w="1951"/>
        <w:gridCol w:w="7335"/>
      </w:tblGrid>
      <w:tr w:rsidR="002B4B5B" w14:paraId="5FBE75FF" w14:textId="77777777" w:rsidTr="434C31D8">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1951" w:type="dxa"/>
          </w:tcPr>
          <w:p w14:paraId="6CD74A55" w14:textId="77777777" w:rsidR="002B4B5B" w:rsidRPr="00442353" w:rsidRDefault="002B4B5B" w:rsidP="0046508E">
            <w:pPr>
              <w:pStyle w:val="Style1"/>
              <w:rPr>
                <w:rFonts w:cs="Arial"/>
                <w:bCs/>
              </w:rPr>
            </w:pPr>
            <w:r w:rsidRPr="00442353">
              <w:rPr>
                <w:rFonts w:cs="Arial"/>
                <w:bCs/>
              </w:rPr>
              <w:t>Abbreviation</w:t>
            </w:r>
          </w:p>
        </w:tc>
        <w:tc>
          <w:tcPr>
            <w:tcW w:w="7335" w:type="dxa"/>
          </w:tcPr>
          <w:p w14:paraId="1A4B8F20" w14:textId="77777777" w:rsidR="002B4B5B" w:rsidRPr="00442353" w:rsidRDefault="002B4B5B" w:rsidP="0046508E">
            <w:pPr>
              <w:pStyle w:val="Style1"/>
              <w:cnfStyle w:val="100000000000" w:firstRow="1" w:lastRow="0" w:firstColumn="0" w:lastColumn="0" w:oddVBand="0" w:evenVBand="0" w:oddHBand="0" w:evenHBand="0" w:firstRowFirstColumn="0" w:firstRowLastColumn="0" w:lastRowFirstColumn="0" w:lastRowLastColumn="0"/>
              <w:rPr>
                <w:rFonts w:cs="Arial"/>
                <w:bCs/>
              </w:rPr>
            </w:pPr>
            <w:r w:rsidRPr="00442353">
              <w:rPr>
                <w:rFonts w:cs="Arial"/>
                <w:bCs/>
              </w:rPr>
              <w:t>Description</w:t>
            </w:r>
          </w:p>
        </w:tc>
      </w:tr>
      <w:tr w:rsidR="002B4B5B" w14:paraId="6CF810A6"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28C19A65" w14:textId="77777777" w:rsidR="002B4B5B" w:rsidRPr="006E1459" w:rsidRDefault="002B4B5B" w:rsidP="00442353">
            <w:r w:rsidRPr="006E1459">
              <w:t>AQAP</w:t>
            </w:r>
          </w:p>
        </w:tc>
        <w:tc>
          <w:tcPr>
            <w:tcW w:w="7335" w:type="dxa"/>
          </w:tcPr>
          <w:p w14:paraId="264CD79B"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 xml:space="preserve">Air Quality Action Plan - </w:t>
            </w:r>
            <w:r>
              <w:t>A detailed description of measures, outcomes, achievement dates and implementation methods, showing how the local authority intends to achieve air quality limit values’</w:t>
            </w:r>
          </w:p>
        </w:tc>
      </w:tr>
      <w:tr w:rsidR="002B4B5B" w14:paraId="41DD34B0"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03A3AB1E" w14:textId="77777777" w:rsidR="002B4B5B" w:rsidRPr="006E1459" w:rsidRDefault="002B4B5B" w:rsidP="00442353">
            <w:r w:rsidRPr="006E1459">
              <w:t>AQMA</w:t>
            </w:r>
          </w:p>
        </w:tc>
        <w:tc>
          <w:tcPr>
            <w:tcW w:w="7335" w:type="dxa"/>
          </w:tcPr>
          <w:p w14:paraId="38E84649"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Management Area – An area where air pollutant concentrations exceed / are likely to exceed the relevant air quality objectives. AQMAs are declared for specific pollutants and objectives</w:t>
            </w:r>
          </w:p>
        </w:tc>
      </w:tr>
      <w:tr w:rsidR="002B4B5B" w14:paraId="15BFDB77"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E3B196E" w14:textId="77777777" w:rsidR="002B4B5B" w:rsidRPr="006E1459" w:rsidRDefault="002B4B5B" w:rsidP="00442353">
            <w:r w:rsidRPr="006E1459">
              <w:t>AQS</w:t>
            </w:r>
          </w:p>
        </w:tc>
        <w:tc>
          <w:tcPr>
            <w:tcW w:w="7335" w:type="dxa"/>
          </w:tcPr>
          <w:p w14:paraId="1C4B7478"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Strategy</w:t>
            </w:r>
          </w:p>
        </w:tc>
      </w:tr>
      <w:tr w:rsidR="002B4B5B" w14:paraId="610B81BC"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7C531CB9" w14:textId="77777777" w:rsidR="002B4B5B" w:rsidRPr="006E1459" w:rsidRDefault="002B4B5B" w:rsidP="00442353">
            <w:r w:rsidRPr="006E1459">
              <w:t>ASR</w:t>
            </w:r>
          </w:p>
        </w:tc>
        <w:tc>
          <w:tcPr>
            <w:tcW w:w="7335" w:type="dxa"/>
          </w:tcPr>
          <w:p w14:paraId="1B81E3C3"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 quality Annual Status Report</w:t>
            </w:r>
          </w:p>
        </w:tc>
      </w:tr>
      <w:tr w:rsidR="00352015" w14:paraId="4BC56058"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73CBF21" w14:textId="495EF5B0" w:rsidR="00352015" w:rsidRPr="006E1459" w:rsidRDefault="00352015" w:rsidP="00442353">
            <w:r>
              <w:t>CAZ</w:t>
            </w:r>
          </w:p>
        </w:tc>
        <w:tc>
          <w:tcPr>
            <w:tcW w:w="7335" w:type="dxa"/>
          </w:tcPr>
          <w:p w14:paraId="307D2371" w14:textId="3477433D" w:rsidR="00352015" w:rsidRPr="006E1459" w:rsidRDefault="00352015" w:rsidP="00442353">
            <w:pPr>
              <w:cnfStyle w:val="000000000000" w:firstRow="0" w:lastRow="0" w:firstColumn="0" w:lastColumn="0" w:oddVBand="0" w:evenVBand="0" w:oddHBand="0" w:evenHBand="0" w:firstRowFirstColumn="0" w:firstRowLastColumn="0" w:lastRowFirstColumn="0" w:lastRowLastColumn="0"/>
            </w:pPr>
            <w:r>
              <w:t>Clean Air Zone</w:t>
            </w:r>
          </w:p>
        </w:tc>
      </w:tr>
      <w:tr w:rsidR="007D0A26" w14:paraId="003D7D2F"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377FF9E" w14:textId="5F024805" w:rsidR="007D0A26" w:rsidRDefault="007D0A26" w:rsidP="00442353">
            <w:r>
              <w:t>CMS</w:t>
            </w:r>
          </w:p>
        </w:tc>
        <w:tc>
          <w:tcPr>
            <w:tcW w:w="7335" w:type="dxa"/>
          </w:tcPr>
          <w:p w14:paraId="7D960B53" w14:textId="6DE05214" w:rsidR="007D0A26" w:rsidRDefault="007D0A26" w:rsidP="00442353">
            <w:pPr>
              <w:cnfStyle w:val="000000000000" w:firstRow="0" w:lastRow="0" w:firstColumn="0" w:lastColumn="0" w:oddVBand="0" w:evenVBand="0" w:oddHBand="0" w:evenHBand="0" w:firstRowFirstColumn="0" w:firstRowLastColumn="0" w:lastRowFirstColumn="0" w:lastRowLastColumn="0"/>
            </w:pPr>
            <w:r>
              <w:t>Continuous ambient Monitoring Sites</w:t>
            </w:r>
          </w:p>
        </w:tc>
      </w:tr>
      <w:tr w:rsidR="002B4B5B" w14:paraId="03C7A682"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17CF798" w14:textId="34341534" w:rsidR="002B4B5B" w:rsidRPr="006E1459" w:rsidRDefault="002B4B5B" w:rsidP="00442353">
            <w:r w:rsidRPr="006E1459">
              <w:t>D</w:t>
            </w:r>
            <w:r w:rsidR="005D0FD6">
              <w:t>EFRA</w:t>
            </w:r>
          </w:p>
        </w:tc>
        <w:tc>
          <w:tcPr>
            <w:tcW w:w="7335" w:type="dxa"/>
          </w:tcPr>
          <w:p w14:paraId="02334416"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Department for Environment, Food and Rural Affairs</w:t>
            </w:r>
          </w:p>
        </w:tc>
      </w:tr>
      <w:tr w:rsidR="007D0A26" w14:paraId="24A339C7"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489912EF" w14:textId="37C9BADA" w:rsidR="007D0A26" w:rsidRPr="006E1459" w:rsidRDefault="007D0A26" w:rsidP="00442353">
            <w:r>
              <w:t>DfT</w:t>
            </w:r>
          </w:p>
        </w:tc>
        <w:tc>
          <w:tcPr>
            <w:tcW w:w="7335" w:type="dxa"/>
          </w:tcPr>
          <w:p w14:paraId="33782EAC" w14:textId="78713D8F" w:rsidR="007D0A26" w:rsidRPr="006E1459" w:rsidRDefault="007D0A26" w:rsidP="00442353">
            <w:pPr>
              <w:cnfStyle w:val="000000000000" w:firstRow="0" w:lastRow="0" w:firstColumn="0" w:lastColumn="0" w:oddVBand="0" w:evenVBand="0" w:oddHBand="0" w:evenHBand="0" w:firstRowFirstColumn="0" w:firstRowLastColumn="0" w:lastRowFirstColumn="0" w:lastRowLastColumn="0"/>
            </w:pPr>
            <w:r>
              <w:t>Department for Transport</w:t>
            </w:r>
          </w:p>
        </w:tc>
      </w:tr>
      <w:tr w:rsidR="002A2BBF" w14:paraId="5E1590B3"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48917580" w14:textId="440097F0" w:rsidR="002A2BBF" w:rsidRPr="006E1459" w:rsidRDefault="002A2BBF" w:rsidP="00442353">
            <w:r>
              <w:t>EFT</w:t>
            </w:r>
          </w:p>
        </w:tc>
        <w:tc>
          <w:tcPr>
            <w:tcW w:w="7335" w:type="dxa"/>
          </w:tcPr>
          <w:p w14:paraId="0F557FD4" w14:textId="6442AE50" w:rsidR="002A2BBF" w:rsidRPr="006E1459" w:rsidRDefault="002A2BBF" w:rsidP="00442353">
            <w:pPr>
              <w:cnfStyle w:val="000000000000" w:firstRow="0" w:lastRow="0" w:firstColumn="0" w:lastColumn="0" w:oddVBand="0" w:evenVBand="0" w:oddHBand="0" w:evenHBand="0" w:firstRowFirstColumn="0" w:firstRowLastColumn="0" w:lastRowFirstColumn="0" w:lastRowLastColumn="0"/>
            </w:pPr>
            <w:r>
              <w:t>Emission Factor Toolkit</w:t>
            </w:r>
          </w:p>
        </w:tc>
      </w:tr>
      <w:tr w:rsidR="00B4470B" w14:paraId="15FB03A3"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407491F" w14:textId="75699D1F" w:rsidR="00B4470B" w:rsidRDefault="00B4470B" w:rsidP="00442353">
            <w:r>
              <w:t>JAQU</w:t>
            </w:r>
          </w:p>
        </w:tc>
        <w:tc>
          <w:tcPr>
            <w:tcW w:w="7335" w:type="dxa"/>
          </w:tcPr>
          <w:p w14:paraId="768CE35B" w14:textId="59C73524" w:rsidR="00B4470B" w:rsidRDefault="00B4470B" w:rsidP="00442353">
            <w:pPr>
              <w:cnfStyle w:val="000000000000" w:firstRow="0" w:lastRow="0" w:firstColumn="0" w:lastColumn="0" w:oddVBand="0" w:evenVBand="0" w:oddHBand="0" w:evenHBand="0" w:firstRowFirstColumn="0" w:firstRowLastColumn="0" w:lastRowFirstColumn="0" w:lastRowLastColumn="0"/>
            </w:pPr>
            <w:r w:rsidRPr="00B4470B">
              <w:t>Joint Air Quality Unit</w:t>
            </w:r>
          </w:p>
        </w:tc>
      </w:tr>
      <w:tr w:rsidR="002B4B5B" w14:paraId="04588878"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08A1C20" w14:textId="77777777" w:rsidR="002B4B5B" w:rsidRPr="006E1459" w:rsidRDefault="002B4B5B" w:rsidP="00442353">
            <w:r w:rsidRPr="006E1459">
              <w:t>LAQM</w:t>
            </w:r>
          </w:p>
        </w:tc>
        <w:tc>
          <w:tcPr>
            <w:tcW w:w="7335" w:type="dxa"/>
          </w:tcPr>
          <w:p w14:paraId="3D65C58D"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Local Air Quality Management</w:t>
            </w:r>
          </w:p>
        </w:tc>
      </w:tr>
      <w:tr w:rsidR="00352015" w14:paraId="0D0D6B9C"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1409E9A" w14:textId="5A7D949B" w:rsidR="00352015" w:rsidRPr="006E1459" w:rsidRDefault="00352015" w:rsidP="00442353">
            <w:r>
              <w:t>LEVI</w:t>
            </w:r>
          </w:p>
        </w:tc>
        <w:tc>
          <w:tcPr>
            <w:tcW w:w="7335" w:type="dxa"/>
          </w:tcPr>
          <w:p w14:paraId="17114840" w14:textId="75DFA917" w:rsidR="00352015" w:rsidRPr="006E1459" w:rsidRDefault="00352015" w:rsidP="00442353">
            <w:pPr>
              <w:cnfStyle w:val="000000000000" w:firstRow="0" w:lastRow="0" w:firstColumn="0" w:lastColumn="0" w:oddVBand="0" w:evenVBand="0" w:oddHBand="0" w:evenHBand="0" w:firstRowFirstColumn="0" w:firstRowLastColumn="0" w:lastRowFirstColumn="0" w:lastRowLastColumn="0"/>
            </w:pPr>
            <w:r w:rsidRPr="00352015">
              <w:t>Local Electric Vehicle Fund</w:t>
            </w:r>
          </w:p>
        </w:tc>
      </w:tr>
      <w:tr w:rsidR="007D0A26" w14:paraId="55630E9E"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3724D452" w14:textId="6EF0E745" w:rsidR="007D0A26" w:rsidRDefault="007D0A26" w:rsidP="00442353">
            <w:r>
              <w:t>LSOA</w:t>
            </w:r>
          </w:p>
        </w:tc>
        <w:tc>
          <w:tcPr>
            <w:tcW w:w="7335" w:type="dxa"/>
          </w:tcPr>
          <w:p w14:paraId="1AF21D84" w14:textId="113F9419" w:rsidR="007D0A26" w:rsidRPr="00352015" w:rsidRDefault="007D0A26" w:rsidP="00442353">
            <w:pPr>
              <w:cnfStyle w:val="000000000000" w:firstRow="0" w:lastRow="0" w:firstColumn="0" w:lastColumn="0" w:oddVBand="0" w:evenVBand="0" w:oddHBand="0" w:evenHBand="0" w:firstRowFirstColumn="0" w:firstRowLastColumn="0" w:lastRowFirstColumn="0" w:lastRowLastColumn="0"/>
            </w:pPr>
            <w:r>
              <w:t>Layer Super Output Areas</w:t>
            </w:r>
          </w:p>
        </w:tc>
      </w:tr>
      <w:tr w:rsidR="00352015" w14:paraId="5F0DAB45"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8EF57A0" w14:textId="77C1A6C7" w:rsidR="00352015" w:rsidRPr="006E1459" w:rsidRDefault="00352015" w:rsidP="00442353">
            <w:r>
              <w:t>NECA</w:t>
            </w:r>
          </w:p>
        </w:tc>
        <w:tc>
          <w:tcPr>
            <w:tcW w:w="7335" w:type="dxa"/>
          </w:tcPr>
          <w:p w14:paraId="71016F09" w14:textId="7FC8B422" w:rsidR="00352015" w:rsidRPr="006E1459" w:rsidRDefault="00352015" w:rsidP="00442353">
            <w:pPr>
              <w:cnfStyle w:val="000000000000" w:firstRow="0" w:lastRow="0" w:firstColumn="0" w:lastColumn="0" w:oddVBand="0" w:evenVBand="0" w:oddHBand="0" w:evenHBand="0" w:firstRowFirstColumn="0" w:firstRowLastColumn="0" w:lastRowFirstColumn="0" w:lastRowLastColumn="0"/>
            </w:pPr>
            <w:r>
              <w:t>North East Combined Authority</w:t>
            </w:r>
          </w:p>
        </w:tc>
      </w:tr>
      <w:tr w:rsidR="002B4B5B" w14:paraId="2C356E2E"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37819B1" w14:textId="77777777" w:rsidR="002B4B5B" w:rsidRPr="006E1459" w:rsidRDefault="002B4B5B" w:rsidP="00442353">
            <w:r w:rsidRPr="006E1459">
              <w:t>NO</w:t>
            </w:r>
            <w:r w:rsidRPr="006E1459">
              <w:rPr>
                <w:vertAlign w:val="subscript"/>
              </w:rPr>
              <w:t>2</w:t>
            </w:r>
          </w:p>
        </w:tc>
        <w:tc>
          <w:tcPr>
            <w:tcW w:w="7335" w:type="dxa"/>
          </w:tcPr>
          <w:p w14:paraId="417E7AAF"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Nitrogen Dioxide</w:t>
            </w:r>
          </w:p>
        </w:tc>
      </w:tr>
      <w:tr w:rsidR="002B4B5B" w14:paraId="7AB1AE64"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18D0B60D" w14:textId="77777777" w:rsidR="002B4B5B" w:rsidRPr="006E1459" w:rsidRDefault="002B4B5B" w:rsidP="00442353">
            <w:r w:rsidRPr="006E1459">
              <w:lastRenderedPageBreak/>
              <w:t>NO</w:t>
            </w:r>
            <w:r w:rsidRPr="006E1459">
              <w:rPr>
                <w:vertAlign w:val="subscript"/>
              </w:rPr>
              <w:t>x</w:t>
            </w:r>
          </w:p>
        </w:tc>
        <w:tc>
          <w:tcPr>
            <w:tcW w:w="7335" w:type="dxa"/>
          </w:tcPr>
          <w:p w14:paraId="19E4D450"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Nitrogen Oxides</w:t>
            </w:r>
          </w:p>
        </w:tc>
      </w:tr>
      <w:tr w:rsidR="002A2BBF" w14:paraId="389F6EE4"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DA83F75" w14:textId="6092591B" w:rsidR="002A2BBF" w:rsidRPr="006E1459" w:rsidRDefault="002A2BBF" w:rsidP="00442353">
            <w:r>
              <w:t>NTEM</w:t>
            </w:r>
          </w:p>
        </w:tc>
        <w:tc>
          <w:tcPr>
            <w:tcW w:w="7335" w:type="dxa"/>
          </w:tcPr>
          <w:p w14:paraId="1A974785" w14:textId="60BD5D75" w:rsidR="002A2BBF" w:rsidRPr="006E1459" w:rsidRDefault="002A2BBF" w:rsidP="00442353">
            <w:pPr>
              <w:cnfStyle w:val="000000000000" w:firstRow="0" w:lastRow="0" w:firstColumn="0" w:lastColumn="0" w:oddVBand="0" w:evenVBand="0" w:oddHBand="0" w:evenHBand="0" w:firstRowFirstColumn="0" w:firstRowLastColumn="0" w:lastRowFirstColumn="0" w:lastRowLastColumn="0"/>
            </w:pPr>
            <w:r w:rsidRPr="002A2BBF">
              <w:t>National Trip End Model</w:t>
            </w:r>
          </w:p>
        </w:tc>
      </w:tr>
      <w:tr w:rsidR="002B4B5B" w14:paraId="47FDE1AB"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0D7C2E6A" w14:textId="77777777" w:rsidR="002B4B5B" w:rsidRPr="006E1459" w:rsidRDefault="002B4B5B" w:rsidP="00442353">
            <w:pPr>
              <w:rPr>
                <w:noProof/>
              </w:rPr>
            </w:pPr>
            <w:r w:rsidRPr="006E1459">
              <w:rPr>
                <w:noProof/>
              </w:rPr>
              <w:t>PM</w:t>
            </w:r>
            <w:r w:rsidRPr="006E1459">
              <w:rPr>
                <w:noProof/>
                <w:vertAlign w:val="subscript"/>
              </w:rPr>
              <w:t>10</w:t>
            </w:r>
          </w:p>
        </w:tc>
        <w:tc>
          <w:tcPr>
            <w:tcW w:w="7335" w:type="dxa"/>
          </w:tcPr>
          <w:p w14:paraId="700D4430"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10</w:t>
            </w:r>
            <w:r w:rsidRPr="006E1459">
              <w:rPr>
                <w:noProof/>
              </w:rPr>
              <w:t>µm</w:t>
            </w:r>
            <w:r w:rsidRPr="006E1459">
              <w:t xml:space="preserve"> (micrometres or microns) or less</w:t>
            </w:r>
          </w:p>
        </w:tc>
      </w:tr>
      <w:tr w:rsidR="002B4B5B" w14:paraId="3D7710FD"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71C73D40" w14:textId="77777777" w:rsidR="002B4B5B" w:rsidRPr="006E1459" w:rsidRDefault="002B4B5B" w:rsidP="00442353">
            <w:pPr>
              <w:rPr>
                <w:noProof/>
              </w:rPr>
            </w:pPr>
            <w:r w:rsidRPr="006E1459">
              <w:rPr>
                <w:noProof/>
              </w:rPr>
              <w:t>PM</w:t>
            </w:r>
            <w:r w:rsidRPr="006E1459">
              <w:rPr>
                <w:noProof/>
                <w:vertAlign w:val="subscript"/>
              </w:rPr>
              <w:t>2.5</w:t>
            </w:r>
          </w:p>
        </w:tc>
        <w:tc>
          <w:tcPr>
            <w:tcW w:w="7335" w:type="dxa"/>
          </w:tcPr>
          <w:p w14:paraId="0385C22E" w14:textId="77777777" w:rsidR="002B4B5B" w:rsidRPr="006E1459" w:rsidRDefault="002B4B5B" w:rsidP="00442353">
            <w:pPr>
              <w:cnfStyle w:val="000000000000" w:firstRow="0" w:lastRow="0" w:firstColumn="0" w:lastColumn="0" w:oddVBand="0" w:evenVBand="0" w:oddHBand="0" w:evenHBand="0" w:firstRowFirstColumn="0" w:firstRowLastColumn="0" w:lastRowFirstColumn="0" w:lastRowLastColumn="0"/>
            </w:pPr>
            <w:r w:rsidRPr="006E1459">
              <w:t>Airborne particulate matter with an aerodynamic diameter of 2.5</w:t>
            </w:r>
            <w:r w:rsidRPr="006E1459">
              <w:rPr>
                <w:noProof/>
              </w:rPr>
              <w:t>µm</w:t>
            </w:r>
            <w:r w:rsidRPr="006E1459">
              <w:t xml:space="preserve"> or less</w:t>
            </w:r>
          </w:p>
        </w:tc>
      </w:tr>
      <w:tr w:rsidR="002945E0" w14:paraId="7B0E1702"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5BB45CD7" w14:textId="2765CE0E" w:rsidR="002945E0" w:rsidRPr="006E1459" w:rsidRDefault="002945E0" w:rsidP="00442353">
            <w:pPr>
              <w:rPr>
                <w:noProof/>
              </w:rPr>
            </w:pPr>
            <w:r>
              <w:rPr>
                <w:noProof/>
              </w:rPr>
              <w:t>SO</w:t>
            </w:r>
            <w:r w:rsidRPr="002945E0">
              <w:rPr>
                <w:noProof/>
                <w:vertAlign w:val="subscript"/>
              </w:rPr>
              <w:t>2</w:t>
            </w:r>
          </w:p>
        </w:tc>
        <w:tc>
          <w:tcPr>
            <w:tcW w:w="7335" w:type="dxa"/>
          </w:tcPr>
          <w:p w14:paraId="315A94E0" w14:textId="304A2E68" w:rsidR="002945E0" w:rsidRPr="006E1459" w:rsidRDefault="00E53A53" w:rsidP="00442353">
            <w:pPr>
              <w:cnfStyle w:val="000000000000" w:firstRow="0" w:lastRow="0" w:firstColumn="0" w:lastColumn="0" w:oddVBand="0" w:evenVBand="0" w:oddHBand="0" w:evenHBand="0" w:firstRowFirstColumn="0" w:firstRowLastColumn="0" w:lastRowFirstColumn="0" w:lastRowLastColumn="0"/>
            </w:pPr>
            <w:r w:rsidRPr="00E53A53">
              <w:t>Sulphur dioxide</w:t>
            </w:r>
          </w:p>
        </w:tc>
      </w:tr>
      <w:tr w:rsidR="002A2BBF" w14:paraId="2602EF36"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79ED3111" w14:textId="2DFF3F0F" w:rsidR="002A2BBF" w:rsidRDefault="002A2BBF" w:rsidP="00442353">
            <w:pPr>
              <w:rPr>
                <w:noProof/>
              </w:rPr>
            </w:pPr>
            <w:r>
              <w:rPr>
                <w:noProof/>
              </w:rPr>
              <w:t>TEMPro</w:t>
            </w:r>
          </w:p>
        </w:tc>
        <w:tc>
          <w:tcPr>
            <w:tcW w:w="7335" w:type="dxa"/>
          </w:tcPr>
          <w:p w14:paraId="1B8059D5" w14:textId="70C6E922" w:rsidR="002A2BBF" w:rsidRPr="00E53A53" w:rsidRDefault="002A2BBF" w:rsidP="00442353">
            <w:pPr>
              <w:cnfStyle w:val="000000000000" w:firstRow="0" w:lastRow="0" w:firstColumn="0" w:lastColumn="0" w:oddVBand="0" w:evenVBand="0" w:oddHBand="0" w:evenHBand="0" w:firstRowFirstColumn="0" w:firstRowLastColumn="0" w:lastRowFirstColumn="0" w:lastRowLastColumn="0"/>
            </w:pPr>
            <w:r w:rsidRPr="002A2BBF">
              <w:t>Trip End Model Presentation Program</w:t>
            </w:r>
          </w:p>
        </w:tc>
      </w:tr>
      <w:tr w:rsidR="00352015" w14:paraId="24D2B3FE" w14:textId="77777777" w:rsidTr="434C31D8">
        <w:tc>
          <w:tcPr>
            <w:cnfStyle w:val="001000000000" w:firstRow="0" w:lastRow="0" w:firstColumn="1" w:lastColumn="0" w:oddVBand="0" w:evenVBand="0" w:oddHBand="0" w:evenHBand="0" w:firstRowFirstColumn="0" w:firstRowLastColumn="0" w:lastRowFirstColumn="0" w:lastRowLastColumn="0"/>
            <w:tcW w:w="1951" w:type="dxa"/>
          </w:tcPr>
          <w:p w14:paraId="2E041B17" w14:textId="7348A803" w:rsidR="00352015" w:rsidRDefault="00352015" w:rsidP="00442353">
            <w:pPr>
              <w:rPr>
                <w:noProof/>
              </w:rPr>
            </w:pPr>
            <w:r>
              <w:rPr>
                <w:noProof/>
              </w:rPr>
              <w:t>ZEBRA</w:t>
            </w:r>
          </w:p>
        </w:tc>
        <w:tc>
          <w:tcPr>
            <w:tcW w:w="7335" w:type="dxa"/>
          </w:tcPr>
          <w:p w14:paraId="6E8FFC65" w14:textId="29EB09CA" w:rsidR="00352015" w:rsidRPr="00E53A53" w:rsidRDefault="00352015" w:rsidP="00442353">
            <w:pPr>
              <w:cnfStyle w:val="000000000000" w:firstRow="0" w:lastRow="0" w:firstColumn="0" w:lastColumn="0" w:oddVBand="0" w:evenVBand="0" w:oddHBand="0" w:evenHBand="0" w:firstRowFirstColumn="0" w:firstRowLastColumn="0" w:lastRowFirstColumn="0" w:lastRowLastColumn="0"/>
            </w:pPr>
            <w:r w:rsidRPr="00352015">
              <w:t>Zero Emission Bus Regional Area</w:t>
            </w:r>
          </w:p>
        </w:tc>
      </w:tr>
    </w:tbl>
    <w:p w14:paraId="75944F02" w14:textId="55A7E494" w:rsidR="005C49AE" w:rsidRPr="005C49AE" w:rsidRDefault="005C49AE"/>
    <w:p w14:paraId="24F8EE7D" w14:textId="7CE1FA63" w:rsidR="005C49AE" w:rsidRPr="005C49AE" w:rsidRDefault="005C49AE"/>
    <w:p w14:paraId="044FA506" w14:textId="7E7A90CC" w:rsidR="005C49AE" w:rsidRPr="005C49AE" w:rsidRDefault="005C49AE"/>
    <w:p w14:paraId="3F11D619" w14:textId="2A4F5DD1" w:rsidR="005C49AE" w:rsidRPr="005C49AE" w:rsidRDefault="005C49AE"/>
    <w:p w14:paraId="41CEE182" w14:textId="38AE161D" w:rsidR="005C49AE" w:rsidRPr="005C49AE" w:rsidRDefault="005C49AE"/>
    <w:p w14:paraId="099320DE" w14:textId="6C609F51" w:rsidR="005C49AE" w:rsidRPr="005C49AE" w:rsidRDefault="005C49AE"/>
    <w:p w14:paraId="51CCC8E1" w14:textId="384353A7" w:rsidR="005C49AE" w:rsidRPr="005C49AE" w:rsidRDefault="005C49AE"/>
    <w:p w14:paraId="09ED0770" w14:textId="6542F807" w:rsidR="005C49AE" w:rsidRPr="005C49AE" w:rsidRDefault="005C49AE"/>
    <w:p w14:paraId="5532020D" w14:textId="7A85A0EF" w:rsidR="005C49AE" w:rsidRPr="005C49AE" w:rsidRDefault="005C49AE"/>
    <w:p w14:paraId="737BE675" w14:textId="73451D99" w:rsidR="005C49AE" w:rsidRPr="005C49AE" w:rsidRDefault="005C49AE"/>
    <w:p w14:paraId="3D8D639A" w14:textId="7432EFDF" w:rsidR="005C49AE" w:rsidRPr="005C49AE" w:rsidRDefault="005C49AE"/>
    <w:p w14:paraId="6129318D" w14:textId="045ECBAA" w:rsidR="005C49AE" w:rsidRPr="005C49AE" w:rsidRDefault="005C49AE"/>
    <w:p w14:paraId="43B7D947" w14:textId="7F174C2F" w:rsidR="005C49AE" w:rsidRPr="005C49AE" w:rsidRDefault="005C49AE"/>
    <w:p w14:paraId="3BD2ADA5" w14:textId="1C5C757A" w:rsidR="005C49AE" w:rsidRPr="005C49AE" w:rsidRDefault="005C49AE"/>
    <w:p w14:paraId="22137754" w14:textId="5FD59938" w:rsidR="005C49AE" w:rsidRPr="005C49AE" w:rsidRDefault="005C49AE"/>
    <w:p w14:paraId="2063F308" w14:textId="356F2CC9" w:rsidR="005C49AE" w:rsidRPr="005C49AE" w:rsidRDefault="005C49AE"/>
    <w:p w14:paraId="0515DB50" w14:textId="328B39B2" w:rsidR="005C49AE" w:rsidRPr="005C49AE" w:rsidRDefault="005C49AE"/>
    <w:p w14:paraId="3C04D60E" w14:textId="4EA165CD" w:rsidR="0009489D" w:rsidRPr="0009489D" w:rsidRDefault="0009489D" w:rsidP="0009489D">
      <w:pPr>
        <w:tabs>
          <w:tab w:val="left" w:pos="3970"/>
        </w:tabs>
      </w:pPr>
    </w:p>
    <w:sectPr w:rsidR="0009489D" w:rsidRPr="0009489D" w:rsidSect="00797DDE">
      <w:footerReference w:type="default" r:id="rId53"/>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531BB" w14:textId="77777777" w:rsidR="004E7B9C" w:rsidRDefault="004E7B9C">
      <w:r>
        <w:separator/>
      </w:r>
    </w:p>
    <w:p w14:paraId="7C31AA4C" w14:textId="77777777" w:rsidR="004E7B9C" w:rsidRDefault="004E7B9C"/>
  </w:endnote>
  <w:endnote w:type="continuationSeparator" w:id="0">
    <w:p w14:paraId="1409BC05" w14:textId="77777777" w:rsidR="004E7B9C" w:rsidRDefault="004E7B9C">
      <w:r>
        <w:continuationSeparator/>
      </w:r>
    </w:p>
    <w:p w14:paraId="547ED4A5" w14:textId="77777777" w:rsidR="004E7B9C" w:rsidRDefault="004E7B9C"/>
  </w:endnote>
  <w:endnote w:type="continuationNotice" w:id="1">
    <w:p w14:paraId="34EC009A" w14:textId="77777777" w:rsidR="004E7B9C" w:rsidRDefault="004E7B9C"/>
    <w:p w14:paraId="5CDFD9DA" w14:textId="77777777" w:rsidR="004E7B9C" w:rsidRDefault="004E7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1E6B" w14:textId="14FF1440" w:rsidR="00B34D0A" w:rsidRDefault="00B84152" w:rsidP="00C52768">
    <w:pPr>
      <w:pStyle w:val="Footer"/>
      <w:tabs>
        <w:tab w:val="clear" w:pos="8306"/>
        <w:tab w:val="right" w:pos="9072"/>
      </w:tabs>
    </w:pPr>
    <w:r w:rsidRPr="00B84152">
      <w:t>Newcastle City Council</w:t>
    </w:r>
    <w:r w:rsidR="00B34D0A" w:rsidRPr="00B84152">
      <w:t xml:space="preserve"> Air Quality Action Plan </w:t>
    </w:r>
    <w:r w:rsidR="00616A21">
      <w:t>–</w:t>
    </w:r>
    <w:r w:rsidR="00B34D0A" w:rsidRPr="00B84152">
      <w:t xml:space="preserve"> </w:t>
    </w:r>
    <w:r w:rsidRPr="00B84152">
      <w:t>202</w:t>
    </w:r>
    <w:r w:rsidR="00616A21">
      <w:t>6 to 2030</w:t>
    </w:r>
    <w:r w:rsidR="00B34D0A">
      <w:tab/>
    </w:r>
    <w:r w:rsidR="00B34D0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8390" w14:textId="458682DA" w:rsidR="00B34D0A" w:rsidRDefault="00C44D7E" w:rsidP="00C52768">
    <w:pPr>
      <w:pStyle w:val="Footer"/>
      <w:tabs>
        <w:tab w:val="clear" w:pos="8306"/>
        <w:tab w:val="right" w:pos="9072"/>
      </w:tabs>
    </w:pPr>
    <w:r w:rsidRPr="00C44D7E">
      <w:t>Newcastle City Council</w:t>
    </w:r>
    <w:r w:rsidR="005C49AE" w:rsidRPr="00C44D7E">
      <w:t xml:space="preserve"> Air Quality Action Plan </w:t>
    </w:r>
    <w:r w:rsidR="00616A21">
      <w:t>–</w:t>
    </w:r>
    <w:r w:rsidR="005C49AE" w:rsidRPr="00C44D7E">
      <w:t xml:space="preserve"> </w:t>
    </w:r>
    <w:r w:rsidRPr="00C44D7E">
      <w:t>202</w:t>
    </w:r>
    <w:r w:rsidR="00616A21">
      <w:t>6 to 2030</w:t>
    </w:r>
    <w:r w:rsidR="00B34D0A">
      <w:tab/>
    </w:r>
    <w:r w:rsidR="00B34D0A">
      <w:fldChar w:fldCharType="begin"/>
    </w:r>
    <w:r w:rsidR="00B34D0A">
      <w:instrText xml:space="preserve"> PAGE   \* MERGEFORMAT </w:instrText>
    </w:r>
    <w:r w:rsidR="00B34D0A">
      <w:fldChar w:fldCharType="separate"/>
    </w:r>
    <w:r w:rsidR="00B34D0A">
      <w:rPr>
        <w:noProof/>
      </w:rPr>
      <w:t>7</w:t>
    </w:r>
    <w:r w:rsidR="00B34D0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8618" w14:textId="7B613650" w:rsidR="005D047D" w:rsidRDefault="005D047D" w:rsidP="00C52768">
    <w:pPr>
      <w:pStyle w:val="Footer"/>
      <w:tabs>
        <w:tab w:val="clear" w:pos="8306"/>
        <w:tab w:val="right" w:pos="9072"/>
      </w:tabs>
    </w:pPr>
    <w:r w:rsidRPr="00C44D7E">
      <w:t xml:space="preserve">Newcastle City Council Air Quality Action Plan </w:t>
    </w:r>
    <w:r w:rsidR="00133517">
      <w:t>–</w:t>
    </w:r>
    <w:r w:rsidRPr="00C44D7E">
      <w:t xml:space="preserve"> 202</w:t>
    </w:r>
    <w:r w:rsidR="00133517">
      <w:t>6 to 2030</w:t>
    </w:r>
    <w:r>
      <w:tab/>
    </w:r>
    <w:r>
      <w:fldChar w:fldCharType="begin"/>
    </w:r>
    <w:r>
      <w:instrText xml:space="preserve"> PAGE   \* MERGEFORMAT </w:instrText>
    </w:r>
    <w:r>
      <w:fldChar w:fldCharType="separate"/>
    </w:r>
    <w:r>
      <w:rPr>
        <w:noProof/>
      </w:rPr>
      <w:t>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8514" w14:textId="59BF2589" w:rsidR="00B34D0A" w:rsidRDefault="008911D4" w:rsidP="00C52768">
    <w:pPr>
      <w:pStyle w:val="Footer"/>
      <w:tabs>
        <w:tab w:val="clear" w:pos="8306"/>
        <w:tab w:val="right" w:pos="9072"/>
      </w:tabs>
    </w:pPr>
    <w:r w:rsidRPr="008911D4">
      <w:t>Newcastle City Council</w:t>
    </w:r>
    <w:r w:rsidR="00B34D0A" w:rsidRPr="008911D4">
      <w:t xml:space="preserve"> Air Quality Action Plan - </w:t>
    </w:r>
    <w:r w:rsidRPr="008911D4">
      <w:t>2025</w:t>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tab/>
    </w:r>
    <w:r w:rsidR="00B34D0A">
      <w:fldChar w:fldCharType="begin"/>
    </w:r>
    <w:r w:rsidR="00B34D0A">
      <w:instrText xml:space="preserve"> PAGE   \* MERGEFORMAT </w:instrText>
    </w:r>
    <w:r w:rsidR="00B34D0A">
      <w:fldChar w:fldCharType="separate"/>
    </w:r>
    <w:r w:rsidR="00B34D0A">
      <w:rPr>
        <w:noProof/>
      </w:rPr>
      <w:t>14</w:t>
    </w:r>
    <w:r w:rsidR="00B34D0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64D7" w14:textId="5A8CDB9B" w:rsidR="007A3C20" w:rsidRDefault="008911D4" w:rsidP="00C52768">
    <w:pPr>
      <w:pStyle w:val="Footer"/>
      <w:tabs>
        <w:tab w:val="clear" w:pos="8306"/>
        <w:tab w:val="right" w:pos="9072"/>
      </w:tabs>
    </w:pPr>
    <w:r w:rsidRPr="008911D4">
      <w:t>Newcastle City Council</w:t>
    </w:r>
    <w:r w:rsidR="007A3C20" w:rsidRPr="008911D4">
      <w:t xml:space="preserve"> Air Quality Action Plan - </w:t>
    </w:r>
    <w:r w:rsidRPr="008911D4">
      <w:t>2025</w:t>
    </w:r>
    <w:r w:rsidR="007A3C20">
      <w:tab/>
    </w:r>
    <w:r w:rsidR="007A3C20">
      <w:fldChar w:fldCharType="begin"/>
    </w:r>
    <w:r w:rsidR="007A3C20">
      <w:instrText xml:space="preserve"> PAGE   \* MERGEFORMAT </w:instrText>
    </w:r>
    <w:r w:rsidR="007A3C20">
      <w:fldChar w:fldCharType="separate"/>
    </w:r>
    <w:r w:rsidR="007A3C20">
      <w:rPr>
        <w:noProof/>
      </w:rPr>
      <w:t>14</w:t>
    </w:r>
    <w:r w:rsidR="007A3C20">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56A78" w14:textId="77777777" w:rsidR="00797DDE" w:rsidRDefault="00797DDE" w:rsidP="00C52768">
    <w:pPr>
      <w:pStyle w:val="Footer"/>
      <w:tabs>
        <w:tab w:val="clear" w:pos="8306"/>
        <w:tab w:val="right" w:pos="9072"/>
      </w:tabs>
    </w:pPr>
  </w:p>
  <w:p w14:paraId="42B8F0BC" w14:textId="685B398F" w:rsidR="007A3C20" w:rsidRDefault="00352015" w:rsidP="00C52768">
    <w:pPr>
      <w:pStyle w:val="Footer"/>
      <w:tabs>
        <w:tab w:val="clear" w:pos="8306"/>
        <w:tab w:val="right" w:pos="9072"/>
      </w:tabs>
      <w:rPr>
        <w:noProof/>
      </w:rPr>
    </w:pPr>
    <w:r w:rsidRPr="00352015">
      <w:t>Newcastle City Council</w:t>
    </w:r>
    <w:r w:rsidR="007A3C20" w:rsidRPr="00352015">
      <w:t xml:space="preserve"> Air Quality Action Plan - </w:t>
    </w:r>
    <w:r w:rsidRPr="00352015">
      <w:t>2025</w:t>
    </w:r>
    <w:r w:rsidR="007A3C20">
      <w:tab/>
    </w:r>
    <w:r w:rsidR="007A3C20">
      <w:fldChar w:fldCharType="begin"/>
    </w:r>
    <w:r w:rsidR="007A3C20">
      <w:instrText xml:space="preserve"> PAGE   \* MERGEFORMAT </w:instrText>
    </w:r>
    <w:r w:rsidR="007A3C20">
      <w:fldChar w:fldCharType="separate"/>
    </w:r>
    <w:r w:rsidR="007A3C20">
      <w:rPr>
        <w:noProof/>
      </w:rPr>
      <w:t>14</w:t>
    </w:r>
    <w:r w:rsidR="007A3C20">
      <w:rPr>
        <w:noProof/>
      </w:rPr>
      <w:fldChar w:fldCharType="end"/>
    </w:r>
  </w:p>
  <w:p w14:paraId="53877DDF" w14:textId="77777777" w:rsidR="00797DDE" w:rsidRDefault="00797DDE" w:rsidP="00C52768">
    <w:pPr>
      <w:pStyle w:val="Footer"/>
      <w:tabs>
        <w:tab w:val="clear" w:pos="8306"/>
        <w:tab w:val="right" w:pos="9072"/>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7145" w14:textId="2F67296B" w:rsidR="00B34D0A" w:rsidRDefault="00797DDE" w:rsidP="00C52768">
    <w:pPr>
      <w:pStyle w:val="Footer"/>
      <w:tabs>
        <w:tab w:val="clear" w:pos="8306"/>
        <w:tab w:val="right" w:pos="9072"/>
      </w:tabs>
    </w:pPr>
    <w:r w:rsidRPr="00D04771">
      <w:t>Newcastle City Council</w:t>
    </w:r>
    <w:r w:rsidR="00B34D0A" w:rsidRPr="00797DDE">
      <w:t xml:space="preserve"> Air Quality Action Plan</w:t>
    </w:r>
    <w:r w:rsidR="00B34D0A" w:rsidRPr="00D04771">
      <w:t xml:space="preserve"> </w:t>
    </w:r>
    <w:r w:rsidR="00B34D0A" w:rsidRPr="00797DDE">
      <w:t>-</w:t>
    </w:r>
    <w:r w:rsidR="00B34D0A" w:rsidRPr="00D04771">
      <w:t xml:space="preserve"> </w:t>
    </w:r>
    <w:r w:rsidRPr="00D04771">
      <w:t>2025</w:t>
    </w:r>
    <w:r w:rsidR="00B34D0A">
      <w:tab/>
    </w:r>
    <w:r w:rsidR="00B34D0A">
      <w:fldChar w:fldCharType="begin"/>
    </w:r>
    <w:r w:rsidR="00B34D0A">
      <w:instrText xml:space="preserve"> PAGE   \* MERGEFORMAT </w:instrText>
    </w:r>
    <w:r w:rsidR="00B34D0A">
      <w:fldChar w:fldCharType="separate"/>
    </w:r>
    <w:r w:rsidR="00B34D0A">
      <w:rPr>
        <w:noProof/>
      </w:rPr>
      <w:t>15</w:t>
    </w:r>
    <w:r w:rsidR="00B34D0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C1772" w14:textId="77777777" w:rsidR="004E7B9C" w:rsidRDefault="004E7B9C">
      <w:r>
        <w:separator/>
      </w:r>
    </w:p>
    <w:p w14:paraId="589C636E" w14:textId="77777777" w:rsidR="004E7B9C" w:rsidRDefault="004E7B9C"/>
  </w:footnote>
  <w:footnote w:type="continuationSeparator" w:id="0">
    <w:p w14:paraId="3346D22C" w14:textId="77777777" w:rsidR="004E7B9C" w:rsidRDefault="004E7B9C">
      <w:r>
        <w:continuationSeparator/>
      </w:r>
    </w:p>
    <w:p w14:paraId="3EF9BB00" w14:textId="77777777" w:rsidR="004E7B9C" w:rsidRDefault="004E7B9C"/>
  </w:footnote>
  <w:footnote w:type="continuationNotice" w:id="1">
    <w:p w14:paraId="2F6CB80B" w14:textId="77777777" w:rsidR="004E7B9C" w:rsidRDefault="004E7B9C"/>
    <w:p w14:paraId="78DD48EC" w14:textId="77777777" w:rsidR="004E7B9C" w:rsidRDefault="004E7B9C"/>
  </w:footnote>
  <w:footnote w:id="2">
    <w:p w14:paraId="3453834F" w14:textId="387B88E5" w:rsidR="00B34D0A" w:rsidRPr="002F6093" w:rsidRDefault="00B34D0A" w:rsidP="002F6093">
      <w:pPr>
        <w:pStyle w:val="FootnoteText"/>
        <w:tabs>
          <w:tab w:val="right" w:pos="9070"/>
        </w:tabs>
        <w:rPr>
          <w:sz w:val="20"/>
        </w:rPr>
      </w:pPr>
      <w:r w:rsidRPr="002F6093">
        <w:rPr>
          <w:rStyle w:val="FootnoteReference"/>
          <w:sz w:val="20"/>
        </w:rPr>
        <w:footnoteRef/>
      </w:r>
      <w:r w:rsidRPr="002F6093">
        <w:rPr>
          <w:sz w:val="20"/>
        </w:rPr>
        <w:t xml:space="preserve"> </w:t>
      </w:r>
      <w:r w:rsidRPr="002F6093">
        <w:rPr>
          <w:rFonts w:cs="Segoe UI Light"/>
          <w:color w:val="231F20"/>
          <w:sz w:val="20"/>
        </w:rPr>
        <w:t>Environmental equity, air quality, socioeconomic status and respiratory health, 2010</w:t>
      </w:r>
    </w:p>
  </w:footnote>
  <w:footnote w:id="3">
    <w:p w14:paraId="02E13782" w14:textId="77777777" w:rsidR="00B34D0A" w:rsidRPr="002F6093" w:rsidRDefault="00B34D0A" w:rsidP="00CC1F9E">
      <w:pPr>
        <w:rPr>
          <w:sz w:val="20"/>
          <w:szCs w:val="20"/>
        </w:rPr>
      </w:pPr>
      <w:r w:rsidRPr="002F6093">
        <w:rPr>
          <w:rStyle w:val="FootnoteReference"/>
          <w:sz w:val="20"/>
          <w:szCs w:val="20"/>
        </w:rPr>
        <w:footnoteRef/>
      </w:r>
      <w:r w:rsidRPr="002F6093">
        <w:rPr>
          <w:sz w:val="20"/>
          <w:szCs w:val="20"/>
        </w:rPr>
        <w:t xml:space="preserve"> </w:t>
      </w:r>
      <w:r w:rsidRPr="002F6093">
        <w:rPr>
          <w:rFonts w:cs="Segoe UI Light"/>
          <w:color w:val="231F20"/>
          <w:sz w:val="20"/>
          <w:szCs w:val="20"/>
        </w:rPr>
        <w:t>Air quality and social deprivation in the UK: an environmental inequalities analysis, 2006</w:t>
      </w:r>
    </w:p>
  </w:footnote>
  <w:footnote w:id="4">
    <w:p w14:paraId="151B267C" w14:textId="6F4A5935" w:rsidR="00B34D0A" w:rsidRDefault="00B34D0A" w:rsidP="003E75F9">
      <w:pPr>
        <w:pStyle w:val="FootnoteText"/>
        <w:tabs>
          <w:tab w:val="left" w:pos="2835"/>
        </w:tabs>
      </w:pPr>
      <w:r w:rsidRPr="002F6093">
        <w:rPr>
          <w:rStyle w:val="FootnoteReference"/>
          <w:sz w:val="20"/>
        </w:rPr>
        <w:footnoteRef/>
      </w:r>
      <w:r w:rsidRPr="002F6093">
        <w:rPr>
          <w:sz w:val="20"/>
        </w:rPr>
        <w:t xml:space="preserve"> </w:t>
      </w:r>
      <w:r w:rsidR="00627B38">
        <w:rPr>
          <w:sz w:val="20"/>
        </w:rPr>
        <w:t>Public Health England</w:t>
      </w:r>
      <w:r w:rsidRPr="002F6093">
        <w:rPr>
          <w:sz w:val="20"/>
        </w:rPr>
        <w:t xml:space="preserve">. </w:t>
      </w:r>
      <w:r w:rsidR="003E75F9" w:rsidRPr="003E75F9">
        <w:rPr>
          <w:sz w:val="20"/>
        </w:rPr>
        <w:t>Estimation of costs to the NHS and</w:t>
      </w:r>
      <w:r w:rsidR="003E75F9">
        <w:rPr>
          <w:sz w:val="20"/>
        </w:rPr>
        <w:t xml:space="preserve"> </w:t>
      </w:r>
      <w:r w:rsidR="003E75F9" w:rsidRPr="003E75F9">
        <w:rPr>
          <w:sz w:val="20"/>
        </w:rPr>
        <w:t>social care due to the health impacts</w:t>
      </w:r>
      <w:r w:rsidR="003E75F9">
        <w:rPr>
          <w:sz w:val="20"/>
        </w:rPr>
        <w:t xml:space="preserve"> </w:t>
      </w:r>
      <w:r w:rsidR="003E75F9" w:rsidRPr="003E75F9">
        <w:rPr>
          <w:sz w:val="20"/>
        </w:rPr>
        <w:t>of air pollution: summary report</w:t>
      </w:r>
      <w:r w:rsidRPr="002F6093">
        <w:rPr>
          <w:sz w:val="20"/>
        </w:rPr>
        <w:t xml:space="preserve">, May </w:t>
      </w:r>
      <w:r w:rsidR="003E75F9" w:rsidRPr="002F6093">
        <w:rPr>
          <w:sz w:val="20"/>
        </w:rPr>
        <w:t>201</w:t>
      </w:r>
      <w:r w:rsidR="003E75F9">
        <w:rPr>
          <w:sz w:val="20"/>
        </w:rPr>
        <w:t>8</w:t>
      </w:r>
    </w:p>
  </w:footnote>
  <w:footnote w:id="5">
    <w:p w14:paraId="0B89F846" w14:textId="6BBA94A1" w:rsidR="00A35A2D" w:rsidRDefault="00A35A2D">
      <w:pPr>
        <w:pStyle w:val="FootnoteText"/>
      </w:pPr>
      <w:r>
        <w:rPr>
          <w:rStyle w:val="FootnoteReference"/>
        </w:rPr>
        <w:footnoteRef/>
      </w:r>
      <w:r>
        <w:t xml:space="preserve"> Newcastle City Council (2024). Council Plan 2024 – 2027. Available at: </w:t>
      </w:r>
      <w:hyperlink r:id="rId1" w:history="1">
        <w:r>
          <w:rPr>
            <w:rStyle w:val="Hyperlink"/>
          </w:rPr>
          <w:t>https://newcastle.gov.uk/sites/default/files/Finance/20240321_Council-Plan.pdf</w:t>
        </w:r>
      </w:hyperlink>
    </w:p>
  </w:footnote>
  <w:footnote w:id="6">
    <w:p w14:paraId="3831C754" w14:textId="66CBC668" w:rsidR="00A02440" w:rsidRDefault="00A02440">
      <w:pPr>
        <w:pStyle w:val="FootnoteText"/>
      </w:pPr>
      <w:r>
        <w:rPr>
          <w:rStyle w:val="FootnoteReference"/>
        </w:rPr>
        <w:footnoteRef/>
      </w:r>
      <w:r>
        <w:t xml:space="preserve"> </w:t>
      </w:r>
      <w:hyperlink r:id="rId2" w:history="1">
        <w:r w:rsidRPr="00A02440">
          <w:rPr>
            <w:rStyle w:val="Hyperlink"/>
          </w:rPr>
          <w:t>Newcastle upon Tyne population change, Census 2021 – ONS</w:t>
        </w:r>
      </w:hyperlink>
    </w:p>
  </w:footnote>
  <w:footnote w:id="7">
    <w:p w14:paraId="24373488" w14:textId="079C5413" w:rsidR="00B50CA0" w:rsidRDefault="00B50CA0">
      <w:pPr>
        <w:pStyle w:val="FootnoteText"/>
      </w:pPr>
      <w:r>
        <w:rPr>
          <w:rStyle w:val="FootnoteReference"/>
        </w:rPr>
        <w:footnoteRef/>
      </w:r>
      <w:r>
        <w:t xml:space="preserve"> </w:t>
      </w:r>
      <w:hyperlink r:id="rId3" w:history="1">
        <w:r w:rsidRPr="00B50CA0">
          <w:rPr>
            <w:rStyle w:val="Hyperlink"/>
          </w:rPr>
          <w:t>Lower layer Super Output Area population estimates (Accredited official statistics) - Office for National Statistics</w:t>
        </w:r>
      </w:hyperlink>
    </w:p>
  </w:footnote>
  <w:footnote w:id="8">
    <w:p w14:paraId="0589A806" w14:textId="05F73544" w:rsidR="00237555" w:rsidRDefault="00237555">
      <w:pPr>
        <w:pStyle w:val="FootnoteText"/>
      </w:pPr>
      <w:r>
        <w:rPr>
          <w:rStyle w:val="FootnoteReference"/>
        </w:rPr>
        <w:footnoteRef/>
      </w:r>
      <w:r>
        <w:t xml:space="preserve"> </w:t>
      </w:r>
      <w:hyperlink r:id="rId4" w:history="1">
        <w:r w:rsidRPr="00A25646">
          <w:rPr>
            <w:rStyle w:val="Hyperlink"/>
          </w:rPr>
          <w:t>https://www.gov.uk/government/publications/air-pollution-applying-all-our-health/air-pollution-applying-all-our-health</w:t>
        </w:r>
      </w:hyperlink>
      <w:r>
        <w:t xml:space="preserve"> </w:t>
      </w:r>
    </w:p>
  </w:footnote>
  <w:footnote w:id="9">
    <w:p w14:paraId="483FFE9E" w14:textId="4698C8CC" w:rsidR="00830C98" w:rsidRDefault="00830C98">
      <w:pPr>
        <w:pStyle w:val="FootnoteText"/>
      </w:pPr>
      <w:r>
        <w:rPr>
          <w:rStyle w:val="FootnoteReference"/>
        </w:rPr>
        <w:footnoteRef/>
      </w:r>
      <w:r w:rsidR="004267AE">
        <w:t xml:space="preserve"> Office for Health Improvement &amp; Disparities (2025). Public Health Outcomes Framework – at a glance summary for Newcastle upon Tyne. Available at:</w:t>
      </w:r>
      <w:r>
        <w:t xml:space="preserve"> </w:t>
      </w:r>
      <w:hyperlink r:id="rId5" w:history="1">
        <w:r>
          <w:rPr>
            <w:rStyle w:val="Hyperlink"/>
          </w:rPr>
          <w:t>https://fingertips.phe.org.uk/static-reports/public-health-outcomes-framework/at-a-glance/E08000021.html?area-name=Newcastle%20upon%20Tyne</w:t>
        </w:r>
      </w:hyperlink>
    </w:p>
  </w:footnote>
  <w:footnote w:id="10">
    <w:p w14:paraId="50AB429D" w14:textId="4E61AE1C" w:rsidR="00AB2FB7" w:rsidRDefault="00AB2FB7" w:rsidP="00AB2FB7">
      <w:pPr>
        <w:pStyle w:val="FootnoteText"/>
      </w:pPr>
      <w:r>
        <w:rPr>
          <w:rStyle w:val="FootnoteReference"/>
        </w:rPr>
        <w:footnoteRef/>
      </w:r>
      <w:r>
        <w:t xml:space="preserve"> </w:t>
      </w:r>
      <w:r w:rsidR="00276F2F">
        <w:t xml:space="preserve">DEFRA (2025). Emissions Factor Toolkit v13.1. Available at: </w:t>
      </w:r>
      <w:hyperlink r:id="rId6" w:history="1">
        <w:r w:rsidR="00276F2F" w:rsidRPr="00276F2F">
          <w:rPr>
            <w:rStyle w:val="Hyperlink"/>
          </w:rPr>
          <w:t>https://laqm.defra.gov.uk/air-quality/air-quality-assessment/emissions-factors-toolkit/</w:t>
        </w:r>
      </w:hyperlink>
      <w:r w:rsidR="00276F2F">
        <w:t xml:space="preserve"> </w:t>
      </w:r>
    </w:p>
  </w:footnote>
  <w:footnote w:id="11">
    <w:p w14:paraId="1C36865E" w14:textId="149F744E" w:rsidR="002514F0" w:rsidRDefault="002514F0">
      <w:pPr>
        <w:pStyle w:val="FootnoteText"/>
      </w:pPr>
      <w:r>
        <w:rPr>
          <w:rStyle w:val="FootnoteReference"/>
        </w:rPr>
        <w:footnoteRef/>
      </w:r>
      <w:r>
        <w:t xml:space="preserve"> </w:t>
      </w:r>
      <w:r w:rsidR="00276F2F">
        <w:t xml:space="preserve">DfT (2024). Manual count points for site number 47526. Available at: </w:t>
      </w:r>
      <w:hyperlink r:id="rId7" w:history="1">
        <w:r w:rsidR="00276F2F" w:rsidRPr="00276F2F">
          <w:rPr>
            <w:rStyle w:val="Hyperlink"/>
          </w:rPr>
          <w:t>https://roadtraffic.dft.gov.uk/manualcountpoints/47526</w:t>
        </w:r>
      </w:hyperlink>
    </w:p>
  </w:footnote>
  <w:footnote w:id="12">
    <w:p w14:paraId="5F9CFF89" w14:textId="1892F5A0" w:rsidR="00A85C14" w:rsidRDefault="00A85C14">
      <w:pPr>
        <w:pStyle w:val="FootnoteText"/>
      </w:pPr>
      <w:r>
        <w:rPr>
          <w:rStyle w:val="FootnoteReference"/>
        </w:rPr>
        <w:footnoteRef/>
      </w:r>
      <w:r>
        <w:t xml:space="preserve"> </w:t>
      </w:r>
      <w:r w:rsidR="00276F2F">
        <w:t xml:space="preserve">DfT (2023). Trip End Model Presentation Program (TEMPro) download. Available at: </w:t>
      </w:r>
      <w:hyperlink r:id="rId8" w:history="1">
        <w:r w:rsidR="00276F2F" w:rsidRPr="00276F2F">
          <w:rPr>
            <w:rStyle w:val="Hyperlink"/>
          </w:rPr>
          <w:t>https://www.gov.uk/government/publications/tempro-downloads</w:t>
        </w:r>
      </w:hyperlink>
    </w:p>
  </w:footnote>
  <w:footnote w:id="13">
    <w:p w14:paraId="42EA71C3" w14:textId="2B621690" w:rsidR="001E271B" w:rsidRDefault="001E271B">
      <w:pPr>
        <w:pStyle w:val="FootnoteText"/>
      </w:pPr>
      <w:r>
        <w:rPr>
          <w:rStyle w:val="FootnoteReference"/>
        </w:rPr>
        <w:footnoteRef/>
      </w:r>
      <w:r>
        <w:t xml:space="preserve"> AECOM/WSP Tyneside Authorities (</w:t>
      </w:r>
      <w:r w:rsidR="00FD39C6">
        <w:t>2021</w:t>
      </w:r>
      <w:r>
        <w:t>)</w:t>
      </w:r>
      <w:r w:rsidR="007F2DF4">
        <w:t>.</w:t>
      </w:r>
      <w:r>
        <w:t xml:space="preserve"> Local Plan Air Quality Modelling (AQ3) Tyneside Air Quality Feasibility 2017 - 2023</w:t>
      </w:r>
    </w:p>
  </w:footnote>
  <w:footnote w:id="14">
    <w:p w14:paraId="1CFA569C" w14:textId="00BA9E6F" w:rsidR="00840A16" w:rsidRDefault="00840A16">
      <w:pPr>
        <w:pStyle w:val="FootnoteText"/>
      </w:pPr>
      <w:r>
        <w:rPr>
          <w:rStyle w:val="FootnoteReference"/>
        </w:rPr>
        <w:footnoteRef/>
      </w:r>
      <w:r>
        <w:t xml:space="preserve"> Tyneside CAZ Triage Report (2025)</w:t>
      </w:r>
      <w:r w:rsidR="007F2DF4">
        <w:t>.</w:t>
      </w:r>
      <w:r>
        <w:t xml:space="preserve"> Newcastle City Council </w:t>
      </w:r>
    </w:p>
  </w:footnote>
  <w:footnote w:id="15">
    <w:p w14:paraId="5C811456" w14:textId="53BD94BB" w:rsidR="00CB36FD" w:rsidRDefault="00CB36FD">
      <w:pPr>
        <w:pStyle w:val="FootnoteText"/>
      </w:pPr>
      <w:r>
        <w:rPr>
          <w:rStyle w:val="FootnoteReference"/>
        </w:rPr>
        <w:footnoteRef/>
      </w:r>
      <w:r>
        <w:t xml:space="preserve"> Defra (2025). Local Air Quality Monitoring Technical Guidance 2022</w:t>
      </w:r>
      <w:r w:rsidR="00FB4DDD">
        <w:t>, Box 1-1</w:t>
      </w:r>
      <w:r>
        <w:t xml:space="preserve">. Available at: </w:t>
      </w:r>
      <w:hyperlink r:id="rId9" w:history="1">
        <w:r w:rsidRPr="00CB36FD">
          <w:rPr>
            <w:rStyle w:val="Hyperlink"/>
          </w:rPr>
          <w:t>UK Regions (exc. London) Technical Guidance | LAQM</w:t>
        </w:r>
      </w:hyperlink>
    </w:p>
  </w:footnote>
  <w:footnote w:id="16">
    <w:p w14:paraId="2BDCCA59" w14:textId="0A0BE25F" w:rsidR="00124AB8" w:rsidRDefault="00124AB8">
      <w:pPr>
        <w:pStyle w:val="FootnoteText"/>
      </w:pPr>
      <w:r>
        <w:rPr>
          <w:rStyle w:val="FootnoteReference"/>
        </w:rPr>
        <w:footnoteRef/>
      </w:r>
      <w:r>
        <w:t xml:space="preserve"> </w:t>
      </w:r>
      <w:r w:rsidRPr="00C34F58">
        <w:t>Frost, Sullivan</w:t>
      </w:r>
      <w:r w:rsidR="007F2DF4">
        <w:t xml:space="preserve"> (</w:t>
      </w:r>
      <w:r w:rsidRPr="00C34F58">
        <w:t>2010</w:t>
      </w:r>
      <w:r w:rsidR="007F2DF4">
        <w:t>)</w:t>
      </w:r>
      <w:r w:rsidRPr="00C34F58">
        <w:t>. Analysis of the Market for Carsharing in North America</w:t>
      </w:r>
    </w:p>
  </w:footnote>
  <w:footnote w:id="17">
    <w:p w14:paraId="1DFB6EA8" w14:textId="483C08BE" w:rsidR="00124AB8" w:rsidRDefault="00124AB8">
      <w:pPr>
        <w:pStyle w:val="FootnoteText"/>
      </w:pPr>
      <w:r>
        <w:rPr>
          <w:rStyle w:val="FootnoteReference"/>
        </w:rPr>
        <w:footnoteRef/>
      </w:r>
      <w:r>
        <w:t xml:space="preserve"> </w:t>
      </w:r>
      <w:r w:rsidRPr="00C34F58">
        <w:t>C. Lane (2005)</w:t>
      </w:r>
      <w:r w:rsidR="007F2DF4">
        <w:t>.</w:t>
      </w:r>
      <w:r w:rsidRPr="00C34F58">
        <w:t xml:space="preserve"> PhillyCarShare: First-year social and mobility impacts of carsharing in Philadelphia, Pennsylvania. Transp. Res. Rec., 158–166</w:t>
      </w:r>
    </w:p>
  </w:footnote>
  <w:footnote w:id="18">
    <w:p w14:paraId="55BE39AD" w14:textId="0D8C16D7" w:rsidR="00124AB8" w:rsidRDefault="00124AB8">
      <w:pPr>
        <w:pStyle w:val="FootnoteText"/>
      </w:pPr>
      <w:r>
        <w:rPr>
          <w:rStyle w:val="FootnoteReference"/>
        </w:rPr>
        <w:footnoteRef/>
      </w:r>
      <w:r>
        <w:t xml:space="preserve"> </w:t>
      </w:r>
      <w:r w:rsidRPr="00124AB8">
        <w:t>Hoerler et. al. (2021)</w:t>
      </w:r>
      <w:r w:rsidR="007F2DF4">
        <w:t>.</w:t>
      </w:r>
      <w:r w:rsidRPr="00124AB8">
        <w:t xml:space="preserve"> Carsharing experience fostering sustainable car purchasing? Investigating car size and powertrain choice</w:t>
      </w:r>
    </w:p>
  </w:footnote>
  <w:footnote w:id="19">
    <w:p w14:paraId="4B033569" w14:textId="6EF949BC" w:rsidR="00124AB8" w:rsidRDefault="00124AB8">
      <w:pPr>
        <w:pStyle w:val="FootnoteText"/>
      </w:pPr>
      <w:r>
        <w:rPr>
          <w:rStyle w:val="FootnoteReference"/>
        </w:rPr>
        <w:footnoteRef/>
      </w:r>
      <w:r>
        <w:t xml:space="preserve"> </w:t>
      </w:r>
      <w:r w:rsidRPr="00124AB8">
        <w:t>CoMoUK (2023</w:t>
      </w:r>
      <w:r w:rsidR="007F2DF4">
        <w:t>.</w:t>
      </w:r>
      <w:r w:rsidRPr="00124AB8">
        <w:t>) CoMoUK Annual Car Club Report</w:t>
      </w:r>
      <w:r w:rsidR="007F2DF4">
        <w:t xml:space="preserve">. Available at: </w:t>
      </w:r>
      <w:hyperlink r:id="rId10" w:history="1">
        <w:r w:rsidR="007F2DF4" w:rsidRPr="007F2DF4">
          <w:rPr>
            <w:rStyle w:val="Hyperlink"/>
          </w:rPr>
          <w:t>https://cdn.prod.website-files.com/6102564995f71c83fba14d54/6645d8ccf0f74f6e2b38382e_CoMoUK%20Car%2…</w:t>
        </w:r>
      </w:hyperlink>
    </w:p>
  </w:footnote>
  <w:footnote w:id="20">
    <w:p w14:paraId="64A4D101" w14:textId="7A21F908" w:rsidR="00124AB8" w:rsidRDefault="00124AB8">
      <w:pPr>
        <w:pStyle w:val="FootnoteText"/>
      </w:pPr>
      <w:r>
        <w:rPr>
          <w:rStyle w:val="FootnoteReference"/>
        </w:rPr>
        <w:footnoteRef/>
      </w:r>
      <w:r>
        <w:t xml:space="preserve"> </w:t>
      </w:r>
      <w:r w:rsidRPr="00124AB8">
        <w:t>Jochem et. al. (2020)</w:t>
      </w:r>
      <w:r w:rsidR="007F2DF4">
        <w:t>.</w:t>
      </w:r>
      <w:r w:rsidRPr="00124AB8">
        <w:t xml:space="preserve"> Does free-floating carsharing reduce private vehicle ownership? The case of SHARE NOW in European cities, Transportation Research Part A: Policy and Practice, Volume 141, November 2020, Pages 373-395</w:t>
      </w:r>
      <w:r w:rsidR="007F2DF4">
        <w:t xml:space="preserve">. Available at: </w:t>
      </w:r>
      <w:hyperlink r:id="rId11" w:history="1">
        <w:r w:rsidR="007F2DF4" w:rsidRPr="007F2DF4">
          <w:rPr>
            <w:rStyle w:val="Hyperlink"/>
          </w:rPr>
          <w:t>https://www.sciencedirect.com/science/article/pii/S0965856420307291</w:t>
        </w:r>
      </w:hyperlink>
    </w:p>
  </w:footnote>
  <w:footnote w:id="21">
    <w:p w14:paraId="448C94D2" w14:textId="4960A979" w:rsidR="00CE3C47" w:rsidRDefault="00CE3C47">
      <w:pPr>
        <w:pStyle w:val="FootnoteText"/>
      </w:pPr>
      <w:r>
        <w:rPr>
          <w:rStyle w:val="FootnoteReference"/>
        </w:rPr>
        <w:footnoteRef/>
      </w:r>
      <w:r>
        <w:t xml:space="preserve"> Zapmap (2025)</w:t>
      </w:r>
      <w:r w:rsidR="007F2DF4">
        <w:t>.</w:t>
      </w:r>
      <w:r>
        <w:t xml:space="preserve"> Public charge point utilisation. Available at: </w:t>
      </w:r>
      <w:hyperlink r:id="rId12" w:history="1">
        <w:r w:rsidRPr="00CE3C47">
          <w:rPr>
            <w:rStyle w:val="Hyperlink"/>
          </w:rPr>
          <w:t>Public charge point utilisation - Zapmap</w:t>
        </w:r>
      </w:hyperlink>
    </w:p>
  </w:footnote>
  <w:footnote w:id="22">
    <w:p w14:paraId="7D02FD44" w14:textId="20CB3FB8" w:rsidR="00797DDE" w:rsidRDefault="00797DDE" w:rsidP="00797DDE">
      <w:pPr>
        <w:pStyle w:val="FootnoteText"/>
      </w:pPr>
      <w:r>
        <w:rPr>
          <w:rStyle w:val="FootnoteReference"/>
        </w:rPr>
        <w:footnoteRef/>
      </w:r>
      <w:r w:rsidR="001D0795">
        <w:t xml:space="preserve"> DfT (2025). Integrated National Transport Strategy: a call for ideas. Available at:</w:t>
      </w:r>
      <w:r>
        <w:t xml:space="preserve"> </w:t>
      </w:r>
      <w:hyperlink r:id="rId13" w:history="1">
        <w:r w:rsidRPr="00A63ED0">
          <w:rPr>
            <w:rStyle w:val="Hyperlink"/>
          </w:rPr>
          <w:t>https://www.gov.uk/government/calls-for-evidence/integrated-national-transport-strategy-a-call-for-ideas</w:t>
        </w:r>
      </w:hyperlink>
      <w:r>
        <w:t xml:space="preserve"> </w:t>
      </w:r>
    </w:p>
  </w:footnote>
  <w:footnote w:id="23">
    <w:p w14:paraId="76BB0539" w14:textId="30582BF1" w:rsidR="00797DDE" w:rsidRDefault="00797DDE" w:rsidP="00797DDE">
      <w:pPr>
        <w:pStyle w:val="FootnoteText"/>
      </w:pPr>
      <w:r>
        <w:rPr>
          <w:rStyle w:val="FootnoteReference"/>
        </w:rPr>
        <w:footnoteRef/>
      </w:r>
      <w:r>
        <w:t xml:space="preserve"> </w:t>
      </w:r>
      <w:r w:rsidR="001D0795">
        <w:t xml:space="preserve">DfT (2025). Integrated National Transport Strategy: a call for ideas. Available at: </w:t>
      </w:r>
      <w:hyperlink r:id="rId14" w:history="1">
        <w:r w:rsidR="001D0795" w:rsidRPr="001D0795">
          <w:rPr>
            <w:rStyle w:val="Hyperlink"/>
          </w:rPr>
          <w:t>https://www.gov.uk/government/calls-for-evidence/integrated-national-transport-strategy-a-call-for-ideas/integrated-national-transport-strategy-a-call-for-ideas</w:t>
        </w:r>
      </w:hyperlink>
      <w:r>
        <w:t xml:space="preserve"> </w:t>
      </w:r>
    </w:p>
  </w:footnote>
  <w:footnote w:id="24">
    <w:p w14:paraId="7FC44EB8" w14:textId="419A9BEF" w:rsidR="00797DDE" w:rsidRDefault="00797DDE" w:rsidP="00797DDE">
      <w:pPr>
        <w:pStyle w:val="FootnoteText"/>
      </w:pPr>
      <w:r>
        <w:rPr>
          <w:rStyle w:val="FootnoteReference"/>
        </w:rPr>
        <w:footnoteRef/>
      </w:r>
      <w:r>
        <w:t xml:space="preserve"> </w:t>
      </w:r>
      <w:r w:rsidR="001D0795">
        <w:t xml:space="preserve">DfT and Simon Lightwood MP (2025). Transport Minister kicks off regional tour with communities to shape the future of integrated transport. Available at: </w:t>
      </w:r>
      <w:hyperlink r:id="rId15" w:history="1">
        <w:r w:rsidR="001D0795" w:rsidRPr="001D0795">
          <w:rPr>
            <w:rStyle w:val="Hyperlink"/>
          </w:rPr>
          <w:t>https://www.gov.uk/government/news/transport-minister-kicks-off-regional-tour-with-communities-to-shape-the-future-of-integrated-transport</w:t>
        </w:r>
      </w:hyperlink>
      <w:r>
        <w:t xml:space="preserve"> </w:t>
      </w:r>
    </w:p>
  </w:footnote>
  <w:footnote w:id="25">
    <w:p w14:paraId="290CE228" w14:textId="635D026E" w:rsidR="00797DDE" w:rsidRDefault="00797DDE" w:rsidP="00797DDE">
      <w:pPr>
        <w:pStyle w:val="FootnoteText"/>
      </w:pPr>
      <w:r>
        <w:rPr>
          <w:rStyle w:val="FootnoteReference"/>
        </w:rPr>
        <w:footnoteRef/>
      </w:r>
      <w:r>
        <w:t xml:space="preserve"> </w:t>
      </w:r>
      <w:r w:rsidR="001D0795">
        <w:t xml:space="preserve">UK Parliament (2025). Joined-up journeys: MPs to investigate how integrated transport can be achieved and measured. Available at: </w:t>
      </w:r>
      <w:hyperlink r:id="rId16" w:history="1">
        <w:r w:rsidRPr="00823361">
          <w:rPr>
            <w:rStyle w:val="Hyperlink"/>
          </w:rPr>
          <w:t>Joined-up journeys: MPs to investigate how integrated transport can be achieved and measured - Committees - UK Parliament</w:t>
        </w:r>
      </w:hyperlink>
      <w:r>
        <w:t xml:space="preserve"> </w:t>
      </w:r>
    </w:p>
  </w:footnote>
  <w:footnote w:id="26">
    <w:p w14:paraId="6E4CCF00" w14:textId="0233114D" w:rsidR="00797DDE" w:rsidRDefault="00797DDE" w:rsidP="00797DDE">
      <w:pPr>
        <w:pStyle w:val="FootnoteText"/>
      </w:pPr>
      <w:r>
        <w:rPr>
          <w:rStyle w:val="FootnoteReference"/>
        </w:rPr>
        <w:footnoteRef/>
      </w:r>
      <w:r>
        <w:t xml:space="preserve"> </w:t>
      </w:r>
      <w:r w:rsidR="001D0795">
        <w:t xml:space="preserve">HM Government (2021). Net Zero Strategy: Build Back Greener. Available at: </w:t>
      </w:r>
      <w:hyperlink r:id="rId17" w:history="1">
        <w:r w:rsidR="001D0795" w:rsidRPr="001D0795">
          <w:rPr>
            <w:rStyle w:val="Hyperlink"/>
          </w:rPr>
          <w:t>https://assets.publishing.service.gov.uk/media/6194dfa4d3bf7f0555071b1b/net-zero-strategy-beis.pdf</w:t>
        </w:r>
      </w:hyperlink>
    </w:p>
  </w:footnote>
  <w:footnote w:id="27">
    <w:p w14:paraId="13AE353A" w14:textId="7C2B7A8E" w:rsidR="00797DDE" w:rsidRDefault="00797DDE" w:rsidP="00797DDE">
      <w:pPr>
        <w:pStyle w:val="FootnoteText"/>
      </w:pPr>
      <w:r>
        <w:rPr>
          <w:rStyle w:val="FootnoteReference"/>
        </w:rPr>
        <w:footnoteRef/>
      </w:r>
      <w:r>
        <w:t xml:space="preserve"> </w:t>
      </w:r>
      <w:r w:rsidR="001D0795">
        <w:t xml:space="preserve">Department for Energy Security and Net Zero, Prime Minister’s Office, 10 Downing Street, Department for Business, Energy &amp; </w:t>
      </w:r>
      <w:r w:rsidR="007B7634">
        <w:t xml:space="preserve">Industrial Strategy, The Rt Hon Lord Alok Sharma KCMG and The Rt Hon Boris Johnson (2020). The ten point plan for a green industrial revolution. Available at: </w:t>
      </w:r>
      <w:hyperlink r:id="rId18" w:history="1">
        <w:r w:rsidR="007B7634" w:rsidRPr="007B7634">
          <w:rPr>
            <w:rStyle w:val="Hyperlink"/>
          </w:rPr>
          <w:t>https://www.gov.uk/government/publications/the-ten-point-plan-for-a-green-industrial-revolution</w:t>
        </w:r>
      </w:hyperlink>
      <w:r>
        <w:t xml:space="preserve"> </w:t>
      </w:r>
    </w:p>
  </w:footnote>
  <w:footnote w:id="28">
    <w:p w14:paraId="506BCAC6" w14:textId="2B0993A6" w:rsidR="00797DDE" w:rsidRDefault="00797DDE" w:rsidP="00797DDE">
      <w:pPr>
        <w:pStyle w:val="FootnoteText"/>
      </w:pPr>
      <w:r>
        <w:rPr>
          <w:rStyle w:val="FootnoteReference"/>
        </w:rPr>
        <w:footnoteRef/>
      </w:r>
      <w:r>
        <w:t xml:space="preserve"> </w:t>
      </w:r>
      <w:r w:rsidR="007B7634">
        <w:t xml:space="preserve">NECA (2025). North East Local Transport Plan: Delivering Green Transport. Available at: </w:t>
      </w:r>
      <w:hyperlink r:id="rId19" w:history="1">
        <w:r w:rsidR="007B7634" w:rsidRPr="007B7634">
          <w:rPr>
            <w:rStyle w:val="Hyperlink"/>
          </w:rPr>
          <w:t>https://www.northeast-ca.gov.uk/how-we-work/transport/transport-plan</w:t>
        </w:r>
      </w:hyperlink>
    </w:p>
  </w:footnote>
  <w:footnote w:id="29">
    <w:p w14:paraId="524EF4BB" w14:textId="29720DAA" w:rsidR="00797DDE" w:rsidRDefault="00797DDE" w:rsidP="00797DDE">
      <w:pPr>
        <w:pStyle w:val="FootnoteText"/>
      </w:pPr>
      <w:r>
        <w:rPr>
          <w:rStyle w:val="FootnoteReference"/>
        </w:rPr>
        <w:footnoteRef/>
      </w:r>
      <w:r>
        <w:t xml:space="preserve"> </w:t>
      </w:r>
      <w:r w:rsidR="007B7634">
        <w:t xml:space="preserve">NECA (2025). The Interim North East Local Growth Plan. Available at: </w:t>
      </w:r>
      <w:hyperlink r:id="rId20" w:history="1">
        <w:r w:rsidR="007B7634" w:rsidRPr="007B7634">
          <w:rPr>
            <w:rStyle w:val="Hyperlink"/>
          </w:rPr>
          <w:t>https://www.northeast-ca.gov.uk/local-growth-plan</w:t>
        </w:r>
      </w:hyperlink>
    </w:p>
  </w:footnote>
  <w:footnote w:id="30">
    <w:p w14:paraId="3A0F8BDE" w14:textId="1782FBBE" w:rsidR="00797DDE" w:rsidRDefault="00797DDE" w:rsidP="00797DDE">
      <w:pPr>
        <w:pStyle w:val="FootnoteText"/>
      </w:pPr>
      <w:r>
        <w:rPr>
          <w:rStyle w:val="FootnoteReference"/>
        </w:rPr>
        <w:footnoteRef/>
      </w:r>
      <w:r>
        <w:t xml:space="preserve"> </w:t>
      </w:r>
      <w:r w:rsidR="007B7634">
        <w:t xml:space="preserve">NECA (2024). Go Ultra Low North East. Available at: </w:t>
      </w:r>
      <w:hyperlink r:id="rId21" w:anchor=":~:text=The%20Go%20Ultra%20Low%20North%20East%20programme%20aims,fast%20charging%20facilities%20across%20the%20region.%20Portfolio%3A%20Transport" w:history="1">
        <w:r w:rsidR="007B7634" w:rsidRPr="007B7634">
          <w:rPr>
            <w:rStyle w:val="Hyperlink"/>
          </w:rPr>
          <w:t>https://www.northeast-ca.gov.uk/projects/go-ultra-low-north-east#:~:text=The%20Go%20Ultra%20Low%20North%20East%20programme%20aims,fast%20charging%20facilities%20across%20the%20region.%20Portfolio%3A%20Transport</w:t>
        </w:r>
      </w:hyperlink>
    </w:p>
  </w:footnote>
  <w:footnote w:id="31">
    <w:p w14:paraId="017586A3" w14:textId="1700585B" w:rsidR="00797DDE" w:rsidRDefault="00797DDE" w:rsidP="00797DDE">
      <w:pPr>
        <w:pStyle w:val="FootnoteText"/>
      </w:pPr>
      <w:r>
        <w:rPr>
          <w:rStyle w:val="FootnoteReference"/>
        </w:rPr>
        <w:footnoteRef/>
      </w:r>
      <w:r>
        <w:t xml:space="preserve"> </w:t>
      </w:r>
      <w:r w:rsidR="007B7634">
        <w:t xml:space="preserve">NECA (2023). North East Active Travel Strategy. Available at: </w:t>
      </w:r>
      <w:hyperlink r:id="rId22" w:history="1">
        <w:r w:rsidR="007B7634" w:rsidRPr="007B7634">
          <w:rPr>
            <w:rStyle w:val="Hyperlink"/>
          </w:rPr>
          <w:t>https://www.northeast-ca.gov.uk/how-we-work/transport/active-travel-strategy</w:t>
        </w:r>
      </w:hyperlink>
    </w:p>
  </w:footnote>
  <w:footnote w:id="32">
    <w:p w14:paraId="14BADD88" w14:textId="034A549C" w:rsidR="00797DDE" w:rsidRDefault="00797DDE" w:rsidP="00797DDE">
      <w:pPr>
        <w:pStyle w:val="FootnoteText"/>
      </w:pPr>
      <w:r>
        <w:rPr>
          <w:rStyle w:val="FootnoteReference"/>
        </w:rPr>
        <w:footnoteRef/>
      </w:r>
      <w:r>
        <w:t xml:space="preserve"> </w:t>
      </w:r>
      <w:r w:rsidR="007B7634">
        <w:t xml:space="preserve">NECA (2022). Making the Right Travel Choice. Available at: </w:t>
      </w:r>
      <w:hyperlink r:id="rId23" w:history="1">
        <w:r w:rsidR="007B7634" w:rsidRPr="007B7634">
          <w:rPr>
            <w:rStyle w:val="Hyperlink"/>
          </w:rPr>
          <w:t>https://www.northeast-ca.gov.uk/how-we-work/transport/making-the-right-travel-choice</w:t>
        </w:r>
      </w:hyperlink>
    </w:p>
  </w:footnote>
  <w:footnote w:id="33">
    <w:p w14:paraId="5FD1545E" w14:textId="559C84F7" w:rsidR="00797DDE" w:rsidRDefault="00797DDE" w:rsidP="00797DDE">
      <w:pPr>
        <w:pStyle w:val="FootnoteText"/>
      </w:pPr>
      <w:r>
        <w:rPr>
          <w:rStyle w:val="FootnoteReference"/>
        </w:rPr>
        <w:footnoteRef/>
      </w:r>
      <w:r>
        <w:t xml:space="preserve"> </w:t>
      </w:r>
      <w:r w:rsidR="007B7634">
        <w:t xml:space="preserve">NECA (2023). Bus Service Improvement Plan. Available at: </w:t>
      </w:r>
      <w:hyperlink r:id="rId24" w:history="1">
        <w:r w:rsidR="007B7634" w:rsidRPr="007B7634">
          <w:rPr>
            <w:rStyle w:val="Hyperlink"/>
          </w:rPr>
          <w:t>https://www.northeast-ca.gov.uk/how-we-work/transport/bus-service-improvement-plan</w:t>
        </w:r>
      </w:hyperlink>
    </w:p>
  </w:footnote>
  <w:footnote w:id="34">
    <w:p w14:paraId="7C9E74B2" w14:textId="70A5DC95" w:rsidR="00797DDE" w:rsidRDefault="00797DDE" w:rsidP="00797DDE">
      <w:pPr>
        <w:pStyle w:val="FootnoteText"/>
      </w:pPr>
      <w:r>
        <w:rPr>
          <w:rStyle w:val="FootnoteReference"/>
        </w:rPr>
        <w:footnoteRef/>
      </w:r>
      <w:r>
        <w:t xml:space="preserve"> </w:t>
      </w:r>
      <w:r w:rsidR="007B7634">
        <w:t xml:space="preserve">NECA (2023). North East Zero Emission Vehicle (ZEV) Strategy. Available at: </w:t>
      </w:r>
      <w:hyperlink r:id="rId25" w:history="1">
        <w:r w:rsidR="007B7634" w:rsidRPr="007B7634">
          <w:rPr>
            <w:rStyle w:val="Hyperlink"/>
          </w:rPr>
          <w:t>https://www.northeast-ca.gov.uk/how-we-work/transport/zero-emission-vehicle-strategy</w:t>
        </w:r>
      </w:hyperlink>
    </w:p>
  </w:footnote>
  <w:footnote w:id="35">
    <w:p w14:paraId="65EFD164" w14:textId="3F8E28BB" w:rsidR="00797DDE" w:rsidRDefault="00797DDE" w:rsidP="00797DDE">
      <w:pPr>
        <w:pStyle w:val="FootnoteText"/>
      </w:pPr>
      <w:r>
        <w:rPr>
          <w:rStyle w:val="FootnoteReference"/>
        </w:rPr>
        <w:footnoteRef/>
      </w:r>
      <w:r>
        <w:t xml:space="preserve"> </w:t>
      </w:r>
      <w:r w:rsidR="007B7634">
        <w:t xml:space="preserve">NECA (n.d.). North East Rail and Metro Strategy. Available at: </w:t>
      </w:r>
      <w:hyperlink r:id="rId26" w:history="1">
        <w:r w:rsidR="007B7634">
          <w:rPr>
            <w:rStyle w:val="Hyperlink"/>
          </w:rPr>
          <w:t>https://www.northeast-ca.gov.uk/how-we-work/transport/rail-and-metro-strategy</w:t>
        </w:r>
      </w:hyperlink>
    </w:p>
  </w:footnote>
  <w:footnote w:id="36">
    <w:p w14:paraId="13FC5448" w14:textId="3D25FE63" w:rsidR="00F914C6" w:rsidRDefault="00F914C6" w:rsidP="00F914C6">
      <w:pPr>
        <w:pStyle w:val="FootnoteText"/>
      </w:pPr>
      <w:r>
        <w:rPr>
          <w:rStyle w:val="FootnoteReference"/>
        </w:rPr>
        <w:footnoteRef/>
      </w:r>
      <w:r w:rsidR="0009489D">
        <w:t xml:space="preserve"> Newcastle City Council (n.d). Newcastle Local Plan. Available at: </w:t>
      </w:r>
      <w:r>
        <w:t xml:space="preserve"> </w:t>
      </w:r>
      <w:hyperlink r:id="rId27" w:anchor="DAP" w:history="1">
        <w:r w:rsidR="0009489D">
          <w:rPr>
            <w:rStyle w:val="Hyperlink"/>
          </w:rPr>
          <w:t>https://newcastle.gov.uk/newcastleplan#DAP</w:t>
        </w:r>
      </w:hyperlink>
    </w:p>
  </w:footnote>
  <w:footnote w:id="37">
    <w:p w14:paraId="27AC3586" w14:textId="759CE2B2" w:rsidR="00F914C6" w:rsidRDefault="00F914C6" w:rsidP="00F914C6">
      <w:pPr>
        <w:pStyle w:val="FootnoteText"/>
      </w:pPr>
      <w:r>
        <w:rPr>
          <w:rStyle w:val="FootnoteReference"/>
        </w:rPr>
        <w:footnoteRef/>
      </w:r>
      <w:r>
        <w:t xml:space="preserve"> </w:t>
      </w:r>
      <w:r w:rsidR="0009489D">
        <w:t xml:space="preserve">Newcastle City Council (n.d). Movement Strategy. Available at: </w:t>
      </w:r>
      <w:hyperlink r:id="rId28" w:history="1">
        <w:r w:rsidR="0009489D" w:rsidRPr="0009489D">
          <w:rPr>
            <w:rStyle w:val="Hyperlink"/>
          </w:rPr>
          <w:t>https://new.newcastle.gov.uk/travel/improvements/movement</w:t>
        </w:r>
      </w:hyperlink>
    </w:p>
  </w:footnote>
  <w:footnote w:id="38">
    <w:p w14:paraId="2303CA25" w14:textId="1EB1B27D" w:rsidR="00F914C6" w:rsidRDefault="00F914C6" w:rsidP="00F914C6">
      <w:pPr>
        <w:pStyle w:val="FootnoteText"/>
      </w:pPr>
      <w:r>
        <w:rPr>
          <w:rStyle w:val="FootnoteReference"/>
        </w:rPr>
        <w:footnoteRef/>
      </w:r>
      <w:r>
        <w:t xml:space="preserve"> </w:t>
      </w:r>
      <w:r w:rsidR="0009489D">
        <w:t xml:space="preserve">Newcastle City Council (2022). Newcastle Green Infrastructure Strategy: Main Report (Part 2 of 3). Available at: </w:t>
      </w:r>
      <w:hyperlink r:id="rId29" w:history="1">
        <w:r w:rsidR="0009489D" w:rsidRPr="0009489D">
          <w:rPr>
            <w:rStyle w:val="Hyperlink"/>
          </w:rPr>
          <w:t>https://newcastle.gov.uk/sites/default/files/planning/GI/Part%202%20Main%20Report%20FINALv2%20(1).pdf</w:t>
        </w:r>
      </w:hyperlink>
    </w:p>
  </w:footnote>
  <w:footnote w:id="39">
    <w:p w14:paraId="2F08E3B9" w14:textId="22192793" w:rsidR="00F914C6" w:rsidRDefault="00F914C6" w:rsidP="00F914C6">
      <w:pPr>
        <w:pStyle w:val="FootnoteText"/>
      </w:pPr>
      <w:r>
        <w:rPr>
          <w:rStyle w:val="FootnoteReference"/>
        </w:rPr>
        <w:footnoteRef/>
      </w:r>
      <w:r>
        <w:t xml:space="preserve"> </w:t>
      </w:r>
      <w:r w:rsidR="0009489D">
        <w:t xml:space="preserve">Newcastle City Council (2020). Net Zero Newcastle – 2030 Action Plan. Available at: </w:t>
      </w:r>
      <w:hyperlink r:id="rId30" w:history="1">
        <w:r w:rsidR="0009489D" w:rsidRPr="0009489D">
          <w:rPr>
            <w:rStyle w:val="Hyperlink"/>
          </w:rPr>
          <w:t>https://new.newcastle.gov.uk/climate-change-and-net-zero/our-mission/net-zero-newcastle-2030-action-plan</w:t>
        </w:r>
      </w:hyperlink>
    </w:p>
  </w:footnote>
  <w:footnote w:id="40">
    <w:p w14:paraId="5B85E9C5" w14:textId="197213E4" w:rsidR="0098547A" w:rsidRDefault="0098547A" w:rsidP="0098547A">
      <w:pPr>
        <w:pStyle w:val="FootnoteText"/>
      </w:pPr>
      <w:r>
        <w:rPr>
          <w:rStyle w:val="FootnoteReference"/>
        </w:rPr>
        <w:footnoteRef/>
      </w:r>
      <w:r>
        <w:t xml:space="preserve"> </w:t>
      </w:r>
      <w:r w:rsidR="0009489D">
        <w:t xml:space="preserve">Newcastle City Council (2023). Smoke Control Area and Solid Fuel Enforcement Policy. Available at: </w:t>
      </w:r>
      <w:hyperlink r:id="rId31" w:history="1">
        <w:r w:rsidR="0009489D" w:rsidRPr="0009489D">
          <w:rPr>
            <w:rStyle w:val="Hyperlink"/>
          </w:rPr>
          <w:t>https://newcastle.gov.uk/sites/default/files/Smoke%20Control%20Area%20and%20Solid%20Fuel%20Enforcement%20Policy_0.pdf</w:t>
        </w:r>
      </w:hyperlink>
    </w:p>
  </w:footnote>
  <w:footnote w:id="41">
    <w:p w14:paraId="59014219" w14:textId="112EC0AD" w:rsidR="00F914C6" w:rsidRDefault="00F914C6" w:rsidP="00F914C6">
      <w:pPr>
        <w:pStyle w:val="FootnoteText"/>
      </w:pPr>
      <w:r>
        <w:rPr>
          <w:rStyle w:val="FootnoteReference"/>
        </w:rPr>
        <w:footnoteRef/>
      </w:r>
      <w:r w:rsidR="0009489D">
        <w:t xml:space="preserve"> Newcastle City Council (2023). Health and Wellbeing Strategy 2023 – 2028. Available at:</w:t>
      </w:r>
      <w:r>
        <w:t xml:space="preserve"> </w:t>
      </w:r>
      <w:hyperlink r:id="rId32" w:history="1">
        <w:r w:rsidR="0009489D">
          <w:rPr>
            <w:rStyle w:val="Hyperlink"/>
          </w:rPr>
          <w:t>https://www.newcastle.gov.uk/sites/default/files/HEALTH%20AND%20WELLBEING%20STRATEGY%20FINAL%20MARCH%202023.pdf</w:t>
        </w:r>
      </w:hyperlink>
    </w:p>
  </w:footnote>
  <w:footnote w:id="42">
    <w:p w14:paraId="6F7FD389" w14:textId="494F3BD4" w:rsidR="0009489D" w:rsidRDefault="0009489D" w:rsidP="0009489D">
      <w:pPr>
        <w:pStyle w:val="FootnoteText"/>
      </w:pPr>
      <w:r>
        <w:rPr>
          <w:rStyle w:val="FootnoteReference"/>
        </w:rPr>
        <w:footnoteRef/>
      </w:r>
      <w:r>
        <w:t xml:space="preserve"> Newcaslte City Council (2024). Council Plan 2024 – 2027. Available at: </w:t>
      </w:r>
      <w:hyperlink r:id="rId33" w:history="1">
        <w:r w:rsidR="007D0A26" w:rsidRPr="007D0A26">
          <w:rPr>
            <w:rStyle w:val="Hyperlink"/>
          </w:rPr>
          <w:t>https://newcastle.gov.uk/sites/default/files/Finance/20240321_Council-Plan.pdf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0746" w14:textId="3529BBA8" w:rsidR="00B34D0A" w:rsidRPr="00B84152" w:rsidRDefault="00B84152" w:rsidP="00C52768">
    <w:pPr>
      <w:pStyle w:val="Header"/>
      <w:jc w:val="right"/>
      <w:rPr>
        <w:b/>
      </w:rPr>
    </w:pPr>
    <w:r w:rsidRPr="00B84152">
      <w:rPr>
        <w:b/>
      </w:rPr>
      <w:t>Newcastle City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101"/>
    <w:multiLevelType w:val="hybridMultilevel"/>
    <w:tmpl w:val="C986A33A"/>
    <w:lvl w:ilvl="0" w:tplc="954E63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81570"/>
    <w:multiLevelType w:val="hybridMultilevel"/>
    <w:tmpl w:val="A236968E"/>
    <w:lvl w:ilvl="0" w:tplc="D64A6A1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35EB0"/>
    <w:multiLevelType w:val="hybridMultilevel"/>
    <w:tmpl w:val="9ED8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71E14"/>
    <w:multiLevelType w:val="hybridMultilevel"/>
    <w:tmpl w:val="610E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553F5"/>
    <w:multiLevelType w:val="hybridMultilevel"/>
    <w:tmpl w:val="437A1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003F1"/>
    <w:multiLevelType w:val="hybridMultilevel"/>
    <w:tmpl w:val="A6BCE9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D7A65"/>
    <w:multiLevelType w:val="hybridMultilevel"/>
    <w:tmpl w:val="9C28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762F2"/>
    <w:multiLevelType w:val="hybridMultilevel"/>
    <w:tmpl w:val="893E896A"/>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793206D"/>
    <w:multiLevelType w:val="hybridMultilevel"/>
    <w:tmpl w:val="3F66B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E5453"/>
    <w:multiLevelType w:val="hybridMultilevel"/>
    <w:tmpl w:val="67FC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B6E61"/>
    <w:multiLevelType w:val="hybridMultilevel"/>
    <w:tmpl w:val="B63824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4B73FB2"/>
    <w:multiLevelType w:val="hybridMultilevel"/>
    <w:tmpl w:val="8EAC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B7A9A"/>
    <w:multiLevelType w:val="hybridMultilevel"/>
    <w:tmpl w:val="74F0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3F2AAD"/>
    <w:multiLevelType w:val="hybridMultilevel"/>
    <w:tmpl w:val="F58A4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C3DD6"/>
    <w:multiLevelType w:val="hybridMultilevel"/>
    <w:tmpl w:val="893E896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8600933"/>
    <w:multiLevelType w:val="hybridMultilevel"/>
    <w:tmpl w:val="1486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5E0215"/>
    <w:multiLevelType w:val="hybridMultilevel"/>
    <w:tmpl w:val="29F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3F559F"/>
    <w:multiLevelType w:val="multilevel"/>
    <w:tmpl w:val="E1D8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FB77A5"/>
    <w:multiLevelType w:val="hybridMultilevel"/>
    <w:tmpl w:val="7D5A65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2E7916"/>
    <w:multiLevelType w:val="hybridMultilevel"/>
    <w:tmpl w:val="891C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7106C"/>
    <w:multiLevelType w:val="hybridMultilevel"/>
    <w:tmpl w:val="54909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A64301"/>
    <w:multiLevelType w:val="hybridMultilevel"/>
    <w:tmpl w:val="BCB610E6"/>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3163B35"/>
    <w:multiLevelType w:val="hybridMultilevel"/>
    <w:tmpl w:val="631A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5A2745"/>
    <w:multiLevelType w:val="hybridMultilevel"/>
    <w:tmpl w:val="6AAC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777490"/>
    <w:multiLevelType w:val="hybridMultilevel"/>
    <w:tmpl w:val="9606E32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F4C277B"/>
    <w:multiLevelType w:val="multilevel"/>
    <w:tmpl w:val="A50A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BF165A"/>
    <w:multiLevelType w:val="hybridMultilevel"/>
    <w:tmpl w:val="CC183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3D5B6E"/>
    <w:multiLevelType w:val="hybridMultilevel"/>
    <w:tmpl w:val="9D4CD2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BB5902"/>
    <w:multiLevelType w:val="hybridMultilevel"/>
    <w:tmpl w:val="BA76CF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1911C46"/>
    <w:multiLevelType w:val="multilevel"/>
    <w:tmpl w:val="BA365D3A"/>
    <w:lvl w:ilvl="0">
      <w:start w:val="1"/>
      <w:numFmt w:val="decimal"/>
      <w:pStyle w:val="Heading1"/>
      <w:lvlText w:val="%1"/>
      <w:lvlJc w:val="left"/>
      <w:pPr>
        <w:tabs>
          <w:tab w:val="num" w:pos="0"/>
        </w:tabs>
        <w:ind w:left="1134" w:hanging="1131"/>
      </w:pPr>
      <w:rPr>
        <w:rFonts w:hint="default"/>
      </w:rPr>
    </w:lvl>
    <w:lvl w:ilvl="1">
      <w:start w:val="1"/>
      <w:numFmt w:val="decimal"/>
      <w:pStyle w:val="Heading2"/>
      <w:lvlText w:val="%1.%2"/>
      <w:lvlJc w:val="left"/>
      <w:pPr>
        <w:tabs>
          <w:tab w:val="num" w:pos="0"/>
        </w:tabs>
        <w:ind w:left="570" w:hanging="567"/>
      </w:pPr>
      <w:rPr>
        <w:rFonts w:hint="default"/>
      </w:rPr>
    </w:lvl>
    <w:lvl w:ilvl="2">
      <w:start w:val="1"/>
      <w:numFmt w:val="decimal"/>
      <w:pStyle w:val="Heading3"/>
      <w:lvlText w:val="%1.%2.%3"/>
      <w:lvlJc w:val="left"/>
      <w:pPr>
        <w:tabs>
          <w:tab w:val="num" w:pos="1274"/>
        </w:tabs>
        <w:ind w:left="1844"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35" w15:restartNumberingAfterBreak="0">
    <w:nsid w:val="75AB6541"/>
    <w:multiLevelType w:val="hybridMultilevel"/>
    <w:tmpl w:val="6490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02A91"/>
    <w:multiLevelType w:val="hybridMultilevel"/>
    <w:tmpl w:val="A634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96A5C"/>
    <w:multiLevelType w:val="hybridMultilevel"/>
    <w:tmpl w:val="4AF40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31074D"/>
    <w:multiLevelType w:val="hybridMultilevel"/>
    <w:tmpl w:val="9418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B33F25"/>
    <w:multiLevelType w:val="hybridMultilevel"/>
    <w:tmpl w:val="4CAA911E"/>
    <w:lvl w:ilvl="0" w:tplc="9DF2B802">
      <w:start w:val="1"/>
      <w:numFmt w:val="bullet"/>
      <w:lvlText w:val=""/>
      <w:lvlJc w:val="left"/>
      <w:pPr>
        <w:ind w:left="1440" w:hanging="360"/>
      </w:pPr>
      <w:rPr>
        <w:rFonts w:ascii="Symbol" w:hAnsi="Symbol"/>
      </w:rPr>
    </w:lvl>
    <w:lvl w:ilvl="1" w:tplc="C30E705E">
      <w:start w:val="1"/>
      <w:numFmt w:val="bullet"/>
      <w:lvlText w:val=""/>
      <w:lvlJc w:val="left"/>
      <w:pPr>
        <w:ind w:left="1440" w:hanging="360"/>
      </w:pPr>
      <w:rPr>
        <w:rFonts w:ascii="Symbol" w:hAnsi="Symbol"/>
      </w:rPr>
    </w:lvl>
    <w:lvl w:ilvl="2" w:tplc="313AFE9E">
      <w:start w:val="1"/>
      <w:numFmt w:val="bullet"/>
      <w:lvlText w:val=""/>
      <w:lvlJc w:val="left"/>
      <w:pPr>
        <w:ind w:left="1440" w:hanging="360"/>
      </w:pPr>
      <w:rPr>
        <w:rFonts w:ascii="Symbol" w:hAnsi="Symbol"/>
      </w:rPr>
    </w:lvl>
    <w:lvl w:ilvl="3" w:tplc="C0283506">
      <w:start w:val="1"/>
      <w:numFmt w:val="bullet"/>
      <w:lvlText w:val=""/>
      <w:lvlJc w:val="left"/>
      <w:pPr>
        <w:ind w:left="1440" w:hanging="360"/>
      </w:pPr>
      <w:rPr>
        <w:rFonts w:ascii="Symbol" w:hAnsi="Symbol"/>
      </w:rPr>
    </w:lvl>
    <w:lvl w:ilvl="4" w:tplc="9C4202E4">
      <w:start w:val="1"/>
      <w:numFmt w:val="bullet"/>
      <w:lvlText w:val=""/>
      <w:lvlJc w:val="left"/>
      <w:pPr>
        <w:ind w:left="1440" w:hanging="360"/>
      </w:pPr>
      <w:rPr>
        <w:rFonts w:ascii="Symbol" w:hAnsi="Symbol"/>
      </w:rPr>
    </w:lvl>
    <w:lvl w:ilvl="5" w:tplc="5DCA8E38">
      <w:start w:val="1"/>
      <w:numFmt w:val="bullet"/>
      <w:lvlText w:val=""/>
      <w:lvlJc w:val="left"/>
      <w:pPr>
        <w:ind w:left="1440" w:hanging="360"/>
      </w:pPr>
      <w:rPr>
        <w:rFonts w:ascii="Symbol" w:hAnsi="Symbol"/>
      </w:rPr>
    </w:lvl>
    <w:lvl w:ilvl="6" w:tplc="A4606EA6">
      <w:start w:val="1"/>
      <w:numFmt w:val="bullet"/>
      <w:lvlText w:val=""/>
      <w:lvlJc w:val="left"/>
      <w:pPr>
        <w:ind w:left="1440" w:hanging="360"/>
      </w:pPr>
      <w:rPr>
        <w:rFonts w:ascii="Symbol" w:hAnsi="Symbol"/>
      </w:rPr>
    </w:lvl>
    <w:lvl w:ilvl="7" w:tplc="481E1102">
      <w:start w:val="1"/>
      <w:numFmt w:val="bullet"/>
      <w:lvlText w:val=""/>
      <w:lvlJc w:val="left"/>
      <w:pPr>
        <w:ind w:left="1440" w:hanging="360"/>
      </w:pPr>
      <w:rPr>
        <w:rFonts w:ascii="Symbol" w:hAnsi="Symbol"/>
      </w:rPr>
    </w:lvl>
    <w:lvl w:ilvl="8" w:tplc="F5B0E11A">
      <w:start w:val="1"/>
      <w:numFmt w:val="bullet"/>
      <w:lvlText w:val=""/>
      <w:lvlJc w:val="left"/>
      <w:pPr>
        <w:ind w:left="1440" w:hanging="360"/>
      </w:pPr>
      <w:rPr>
        <w:rFonts w:ascii="Symbol" w:hAnsi="Symbol"/>
      </w:rPr>
    </w:lvl>
  </w:abstractNum>
  <w:num w:numId="1" w16cid:durableId="700974473">
    <w:abstractNumId w:val="32"/>
  </w:num>
  <w:num w:numId="2" w16cid:durableId="353776453">
    <w:abstractNumId w:val="27"/>
  </w:num>
  <w:num w:numId="3" w16cid:durableId="298341434">
    <w:abstractNumId w:val="29"/>
  </w:num>
  <w:num w:numId="4" w16cid:durableId="975719477">
    <w:abstractNumId w:val="14"/>
  </w:num>
  <w:num w:numId="5" w16cid:durableId="226494663">
    <w:abstractNumId w:val="17"/>
  </w:num>
  <w:num w:numId="6" w16cid:durableId="1989550435">
    <w:abstractNumId w:val="0"/>
  </w:num>
  <w:num w:numId="7" w16cid:durableId="1869947186">
    <w:abstractNumId w:val="8"/>
  </w:num>
  <w:num w:numId="8" w16cid:durableId="1284459991">
    <w:abstractNumId w:val="2"/>
  </w:num>
  <w:num w:numId="9" w16cid:durableId="538249431">
    <w:abstractNumId w:val="18"/>
  </w:num>
  <w:num w:numId="10" w16cid:durableId="470711764">
    <w:abstractNumId w:val="34"/>
  </w:num>
  <w:num w:numId="11" w16cid:durableId="361247541">
    <w:abstractNumId w:val="34"/>
    <w:lvlOverride w:ilvl="0">
      <w:lvl w:ilvl="0">
        <w:start w:val="1"/>
        <w:numFmt w:val="decimal"/>
        <w:pStyle w:val="Heading1"/>
        <w:lvlText w:val="%1"/>
        <w:lvlJc w:val="left"/>
        <w:pPr>
          <w:tabs>
            <w:tab w:val="num" w:pos="0"/>
          </w:tabs>
          <w:ind w:left="1134" w:hanging="1131"/>
        </w:pPr>
        <w:rPr>
          <w:rFonts w:hint="default"/>
        </w:rPr>
      </w:lvl>
    </w:lvlOverride>
    <w:lvlOverride w:ilvl="1">
      <w:lvl w:ilvl="1">
        <w:start w:val="1"/>
        <w:numFmt w:val="decimal"/>
        <w:pStyle w:val="Heading2"/>
        <w:lvlText w:val="%1.%2"/>
        <w:lvlJc w:val="left"/>
        <w:pPr>
          <w:tabs>
            <w:tab w:val="num" w:pos="0"/>
          </w:tabs>
          <w:ind w:left="570" w:hanging="567"/>
        </w:pPr>
        <w:rPr>
          <w:rFonts w:hint="default"/>
        </w:rPr>
      </w:lvl>
    </w:lvlOverride>
    <w:lvlOverride w:ilvl="2">
      <w:lvl w:ilvl="2">
        <w:start w:val="1"/>
        <w:numFmt w:val="decimal"/>
        <w:pStyle w:val="Heading3"/>
        <w:lvlText w:val="%1.%2.%3"/>
        <w:lvlJc w:val="left"/>
        <w:pPr>
          <w:tabs>
            <w:tab w:val="num" w:pos="0"/>
          </w:tabs>
          <w:ind w:left="570" w:hanging="567"/>
        </w:pPr>
        <w:rPr>
          <w:rFonts w:hint="default"/>
        </w:rPr>
      </w:lvl>
    </w:lvlOverride>
    <w:lvlOverride w:ilvl="3">
      <w:lvl w:ilvl="3">
        <w:start w:val="1"/>
        <w:numFmt w:val="decimal"/>
        <w:lvlText w:val="%1.%2.%3.%4"/>
        <w:lvlJc w:val="left"/>
        <w:pPr>
          <w:tabs>
            <w:tab w:val="num" w:pos="867"/>
          </w:tabs>
          <w:ind w:left="867" w:hanging="864"/>
        </w:pPr>
        <w:rPr>
          <w:rFonts w:hint="default"/>
        </w:rPr>
      </w:lvl>
    </w:lvlOverride>
    <w:lvlOverride w:ilvl="4">
      <w:lvl w:ilvl="4">
        <w:start w:val="1"/>
        <w:numFmt w:val="decimal"/>
        <w:lvlText w:val="%1.%2.%3.%4.%5"/>
        <w:lvlJc w:val="left"/>
        <w:pPr>
          <w:tabs>
            <w:tab w:val="num" w:pos="1011"/>
          </w:tabs>
          <w:ind w:left="1011" w:hanging="1008"/>
        </w:pPr>
        <w:rPr>
          <w:rFonts w:hint="default"/>
        </w:rPr>
      </w:lvl>
    </w:lvlOverride>
    <w:lvlOverride w:ilvl="5">
      <w:lvl w:ilvl="5">
        <w:start w:val="1"/>
        <w:numFmt w:val="decimal"/>
        <w:lvlText w:val="%1.%2.%3.%4.%5.%6"/>
        <w:lvlJc w:val="left"/>
        <w:pPr>
          <w:tabs>
            <w:tab w:val="num" w:pos="1155"/>
          </w:tabs>
          <w:ind w:left="1155" w:hanging="1152"/>
        </w:pPr>
        <w:rPr>
          <w:rFonts w:hint="default"/>
        </w:rPr>
      </w:lvl>
    </w:lvlOverride>
    <w:lvlOverride w:ilvl="6">
      <w:lvl w:ilvl="6">
        <w:start w:val="1"/>
        <w:numFmt w:val="decimal"/>
        <w:lvlText w:val="%1.%2.%3.%4.%5.%6.%7"/>
        <w:lvlJc w:val="left"/>
        <w:pPr>
          <w:tabs>
            <w:tab w:val="num" w:pos="1299"/>
          </w:tabs>
          <w:ind w:left="1299" w:hanging="1296"/>
        </w:pPr>
        <w:rPr>
          <w:rFonts w:hint="default"/>
        </w:rPr>
      </w:lvl>
    </w:lvlOverride>
    <w:lvlOverride w:ilvl="7">
      <w:lvl w:ilvl="7">
        <w:start w:val="1"/>
        <w:numFmt w:val="decimal"/>
        <w:lvlText w:val="%1.%2.%3.%4.%5.%6.%7.%8"/>
        <w:lvlJc w:val="left"/>
        <w:pPr>
          <w:tabs>
            <w:tab w:val="num" w:pos="1443"/>
          </w:tabs>
          <w:ind w:left="1443" w:hanging="1440"/>
        </w:pPr>
        <w:rPr>
          <w:rFonts w:hint="default"/>
        </w:rPr>
      </w:lvl>
    </w:lvlOverride>
    <w:lvlOverride w:ilvl="8">
      <w:lvl w:ilvl="8">
        <w:start w:val="1"/>
        <w:numFmt w:val="decimal"/>
        <w:lvlText w:val="%1.%2.%3.%4.%5.%6.%7.%8.%9"/>
        <w:lvlJc w:val="left"/>
        <w:pPr>
          <w:tabs>
            <w:tab w:val="num" w:pos="1587"/>
          </w:tabs>
          <w:ind w:left="1587" w:hanging="1584"/>
        </w:pPr>
        <w:rPr>
          <w:rFonts w:hint="default"/>
        </w:rPr>
      </w:lvl>
    </w:lvlOverride>
  </w:num>
  <w:num w:numId="12" w16cid:durableId="540367159">
    <w:abstractNumId w:val="24"/>
  </w:num>
  <w:num w:numId="13" w16cid:durableId="409085816">
    <w:abstractNumId w:val="1"/>
  </w:num>
  <w:num w:numId="14" w16cid:durableId="40329651">
    <w:abstractNumId w:val="31"/>
  </w:num>
  <w:num w:numId="15" w16cid:durableId="1551454326">
    <w:abstractNumId w:val="5"/>
  </w:num>
  <w:num w:numId="16" w16cid:durableId="1187137162">
    <w:abstractNumId w:val="30"/>
  </w:num>
  <w:num w:numId="17" w16cid:durableId="1202741853">
    <w:abstractNumId w:val="22"/>
  </w:num>
  <w:num w:numId="18" w16cid:durableId="225803087">
    <w:abstractNumId w:val="26"/>
  </w:num>
  <w:num w:numId="19" w16cid:durableId="1542477928">
    <w:abstractNumId w:val="33"/>
  </w:num>
  <w:num w:numId="20" w16cid:durableId="608507890">
    <w:abstractNumId w:val="21"/>
  </w:num>
  <w:num w:numId="21" w16cid:durableId="1227035818">
    <w:abstractNumId w:val="36"/>
  </w:num>
  <w:num w:numId="22" w16cid:durableId="990980408">
    <w:abstractNumId w:val="28"/>
  </w:num>
  <w:num w:numId="23" w16cid:durableId="171460487">
    <w:abstractNumId w:val="23"/>
  </w:num>
  <w:num w:numId="24" w16cid:durableId="700588652">
    <w:abstractNumId w:val="15"/>
  </w:num>
  <w:num w:numId="25" w16cid:durableId="911812945">
    <w:abstractNumId w:val="7"/>
  </w:num>
  <w:num w:numId="26" w16cid:durableId="1453131759">
    <w:abstractNumId w:val="4"/>
  </w:num>
  <w:num w:numId="27" w16cid:durableId="1007907638">
    <w:abstractNumId w:val="12"/>
  </w:num>
  <w:num w:numId="28" w16cid:durableId="1553076813">
    <w:abstractNumId w:val="16"/>
  </w:num>
  <w:num w:numId="29" w16cid:durableId="2113626302">
    <w:abstractNumId w:val="11"/>
  </w:num>
  <w:num w:numId="30" w16cid:durableId="1162820093">
    <w:abstractNumId w:val="25"/>
  </w:num>
  <w:num w:numId="31" w16cid:durableId="871765173">
    <w:abstractNumId w:val="9"/>
  </w:num>
  <w:num w:numId="32" w16cid:durableId="235602213">
    <w:abstractNumId w:val="6"/>
  </w:num>
  <w:num w:numId="33" w16cid:durableId="430900653">
    <w:abstractNumId w:val="35"/>
  </w:num>
  <w:num w:numId="34" w16cid:durableId="239097448">
    <w:abstractNumId w:val="13"/>
  </w:num>
  <w:num w:numId="35" w16cid:durableId="807674740">
    <w:abstractNumId w:val="20"/>
  </w:num>
  <w:num w:numId="36" w16cid:durableId="1875458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5806014">
    <w:abstractNumId w:val="34"/>
  </w:num>
  <w:num w:numId="38" w16cid:durableId="374742838">
    <w:abstractNumId w:val="39"/>
  </w:num>
  <w:num w:numId="39" w16cid:durableId="837696745">
    <w:abstractNumId w:val="19"/>
  </w:num>
  <w:num w:numId="40" w16cid:durableId="12984890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8547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22934839">
    <w:abstractNumId w:val="37"/>
  </w:num>
  <w:num w:numId="43" w16cid:durableId="1982730954">
    <w:abstractNumId w:val="38"/>
  </w:num>
  <w:num w:numId="44" w16cid:durableId="13267884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9633058">
    <w:abstractNumId w:val="3"/>
  </w:num>
  <w:num w:numId="46" w16cid:durableId="975448880">
    <w:abstractNumId w:val="10"/>
  </w:num>
  <w:num w:numId="47" w16cid:durableId="6425383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00F2C"/>
    <w:rsid w:val="00001129"/>
    <w:rsid w:val="00003064"/>
    <w:rsid w:val="00005B24"/>
    <w:rsid w:val="000115A7"/>
    <w:rsid w:val="000116EB"/>
    <w:rsid w:val="00014E1E"/>
    <w:rsid w:val="00017ADA"/>
    <w:rsid w:val="000240F8"/>
    <w:rsid w:val="000253FD"/>
    <w:rsid w:val="00030208"/>
    <w:rsid w:val="00032FC9"/>
    <w:rsid w:val="0003309B"/>
    <w:rsid w:val="00033967"/>
    <w:rsid w:val="00036A3A"/>
    <w:rsid w:val="000370BF"/>
    <w:rsid w:val="00037FCA"/>
    <w:rsid w:val="00041511"/>
    <w:rsid w:val="00042FC3"/>
    <w:rsid w:val="000435E4"/>
    <w:rsid w:val="00046B25"/>
    <w:rsid w:val="000473AE"/>
    <w:rsid w:val="00047DD3"/>
    <w:rsid w:val="00050CF0"/>
    <w:rsid w:val="0005194E"/>
    <w:rsid w:val="00052888"/>
    <w:rsid w:val="0005447E"/>
    <w:rsid w:val="0005470A"/>
    <w:rsid w:val="00057198"/>
    <w:rsid w:val="00057772"/>
    <w:rsid w:val="000634C5"/>
    <w:rsid w:val="00063DB0"/>
    <w:rsid w:val="00065B47"/>
    <w:rsid w:val="00067583"/>
    <w:rsid w:val="00067607"/>
    <w:rsid w:val="00067F7E"/>
    <w:rsid w:val="000703B6"/>
    <w:rsid w:val="000704FB"/>
    <w:rsid w:val="00071E1C"/>
    <w:rsid w:val="0007526E"/>
    <w:rsid w:val="00075ADD"/>
    <w:rsid w:val="000773E4"/>
    <w:rsid w:val="00077C1C"/>
    <w:rsid w:val="00082662"/>
    <w:rsid w:val="00083B53"/>
    <w:rsid w:val="000852A0"/>
    <w:rsid w:val="00085ADD"/>
    <w:rsid w:val="0009217D"/>
    <w:rsid w:val="000921B2"/>
    <w:rsid w:val="00092C52"/>
    <w:rsid w:val="0009489D"/>
    <w:rsid w:val="00094CAA"/>
    <w:rsid w:val="00096027"/>
    <w:rsid w:val="000965C2"/>
    <w:rsid w:val="00096A6D"/>
    <w:rsid w:val="00097DA8"/>
    <w:rsid w:val="000A0092"/>
    <w:rsid w:val="000A1285"/>
    <w:rsid w:val="000A2B6B"/>
    <w:rsid w:val="000A4844"/>
    <w:rsid w:val="000B0B62"/>
    <w:rsid w:val="000B0EC4"/>
    <w:rsid w:val="000B1021"/>
    <w:rsid w:val="000B1A3B"/>
    <w:rsid w:val="000B3559"/>
    <w:rsid w:val="000B3B29"/>
    <w:rsid w:val="000B3C1E"/>
    <w:rsid w:val="000B6DE7"/>
    <w:rsid w:val="000C031A"/>
    <w:rsid w:val="000C3FEC"/>
    <w:rsid w:val="000C4FC0"/>
    <w:rsid w:val="000C7DDD"/>
    <w:rsid w:val="000D2118"/>
    <w:rsid w:val="000D3C89"/>
    <w:rsid w:val="000D6687"/>
    <w:rsid w:val="000E01A0"/>
    <w:rsid w:val="000E0593"/>
    <w:rsid w:val="000E0C77"/>
    <w:rsid w:val="000E1829"/>
    <w:rsid w:val="000E2AE2"/>
    <w:rsid w:val="000E3BF9"/>
    <w:rsid w:val="000E46E5"/>
    <w:rsid w:val="000F030E"/>
    <w:rsid w:val="000F119E"/>
    <w:rsid w:val="000F1F86"/>
    <w:rsid w:val="000F65B4"/>
    <w:rsid w:val="000F67B2"/>
    <w:rsid w:val="000F6852"/>
    <w:rsid w:val="00100A3B"/>
    <w:rsid w:val="001015A2"/>
    <w:rsid w:val="0010687E"/>
    <w:rsid w:val="00106FAD"/>
    <w:rsid w:val="001079AB"/>
    <w:rsid w:val="00110E8B"/>
    <w:rsid w:val="001120BA"/>
    <w:rsid w:val="0011223F"/>
    <w:rsid w:val="00113508"/>
    <w:rsid w:val="0011558A"/>
    <w:rsid w:val="00116FEE"/>
    <w:rsid w:val="00122060"/>
    <w:rsid w:val="00122636"/>
    <w:rsid w:val="00124AB8"/>
    <w:rsid w:val="001309BE"/>
    <w:rsid w:val="00131397"/>
    <w:rsid w:val="00132313"/>
    <w:rsid w:val="00132DE0"/>
    <w:rsid w:val="00133517"/>
    <w:rsid w:val="001344A5"/>
    <w:rsid w:val="00136E55"/>
    <w:rsid w:val="0014059B"/>
    <w:rsid w:val="001420D6"/>
    <w:rsid w:val="0014436F"/>
    <w:rsid w:val="00144509"/>
    <w:rsid w:val="00144EF9"/>
    <w:rsid w:val="00145E24"/>
    <w:rsid w:val="001467F4"/>
    <w:rsid w:val="00151204"/>
    <w:rsid w:val="001533D4"/>
    <w:rsid w:val="00155142"/>
    <w:rsid w:val="00162866"/>
    <w:rsid w:val="00163047"/>
    <w:rsid w:val="001663A8"/>
    <w:rsid w:val="001665BF"/>
    <w:rsid w:val="00167BC1"/>
    <w:rsid w:val="0017052C"/>
    <w:rsid w:val="0017106F"/>
    <w:rsid w:val="001716FB"/>
    <w:rsid w:val="00172E75"/>
    <w:rsid w:val="00173C15"/>
    <w:rsid w:val="001741CA"/>
    <w:rsid w:val="00175A7C"/>
    <w:rsid w:val="00175D78"/>
    <w:rsid w:val="0017746E"/>
    <w:rsid w:val="001816AF"/>
    <w:rsid w:val="001816C7"/>
    <w:rsid w:val="0018241F"/>
    <w:rsid w:val="001826D2"/>
    <w:rsid w:val="001846B8"/>
    <w:rsid w:val="00184C77"/>
    <w:rsid w:val="00185D83"/>
    <w:rsid w:val="0019181F"/>
    <w:rsid w:val="001935B5"/>
    <w:rsid w:val="001A0851"/>
    <w:rsid w:val="001A1AFD"/>
    <w:rsid w:val="001A1D21"/>
    <w:rsid w:val="001A2D3B"/>
    <w:rsid w:val="001A59CC"/>
    <w:rsid w:val="001A5FAC"/>
    <w:rsid w:val="001A6020"/>
    <w:rsid w:val="001A6325"/>
    <w:rsid w:val="001A6CBA"/>
    <w:rsid w:val="001A6F48"/>
    <w:rsid w:val="001B0FED"/>
    <w:rsid w:val="001B1413"/>
    <w:rsid w:val="001B2598"/>
    <w:rsid w:val="001B3629"/>
    <w:rsid w:val="001B7329"/>
    <w:rsid w:val="001B7E0F"/>
    <w:rsid w:val="001C3336"/>
    <w:rsid w:val="001C3711"/>
    <w:rsid w:val="001C3857"/>
    <w:rsid w:val="001C71BF"/>
    <w:rsid w:val="001D0795"/>
    <w:rsid w:val="001D0C40"/>
    <w:rsid w:val="001D1543"/>
    <w:rsid w:val="001D21F9"/>
    <w:rsid w:val="001D3DD1"/>
    <w:rsid w:val="001D4C3B"/>
    <w:rsid w:val="001D5B1C"/>
    <w:rsid w:val="001D5E79"/>
    <w:rsid w:val="001E271B"/>
    <w:rsid w:val="001E4AA8"/>
    <w:rsid w:val="001E4FBC"/>
    <w:rsid w:val="001E6670"/>
    <w:rsid w:val="001F01AD"/>
    <w:rsid w:val="001F11FC"/>
    <w:rsid w:val="001F199B"/>
    <w:rsid w:val="001F1C8C"/>
    <w:rsid w:val="001F1FD5"/>
    <w:rsid w:val="001F76BA"/>
    <w:rsid w:val="0020047D"/>
    <w:rsid w:val="00201895"/>
    <w:rsid w:val="00203A92"/>
    <w:rsid w:val="00205385"/>
    <w:rsid w:val="002068F1"/>
    <w:rsid w:val="002079EE"/>
    <w:rsid w:val="0021416E"/>
    <w:rsid w:val="00214503"/>
    <w:rsid w:val="0021503F"/>
    <w:rsid w:val="002237B9"/>
    <w:rsid w:val="0022581B"/>
    <w:rsid w:val="00225B3B"/>
    <w:rsid w:val="002304D0"/>
    <w:rsid w:val="00231428"/>
    <w:rsid w:val="0023252B"/>
    <w:rsid w:val="0023391A"/>
    <w:rsid w:val="002372D0"/>
    <w:rsid w:val="00237555"/>
    <w:rsid w:val="00240621"/>
    <w:rsid w:val="00240FBE"/>
    <w:rsid w:val="0024375E"/>
    <w:rsid w:val="00243B1F"/>
    <w:rsid w:val="00243F6E"/>
    <w:rsid w:val="00244935"/>
    <w:rsid w:val="002454B4"/>
    <w:rsid w:val="00246718"/>
    <w:rsid w:val="00250488"/>
    <w:rsid w:val="002514F0"/>
    <w:rsid w:val="00251D1B"/>
    <w:rsid w:val="00253D0D"/>
    <w:rsid w:val="002619F5"/>
    <w:rsid w:val="0026522C"/>
    <w:rsid w:val="00265287"/>
    <w:rsid w:val="00272BE7"/>
    <w:rsid w:val="002742F0"/>
    <w:rsid w:val="00274864"/>
    <w:rsid w:val="00274872"/>
    <w:rsid w:val="00274B10"/>
    <w:rsid w:val="002758C1"/>
    <w:rsid w:val="0027596B"/>
    <w:rsid w:val="002766BB"/>
    <w:rsid w:val="00276D96"/>
    <w:rsid w:val="00276F2F"/>
    <w:rsid w:val="00277DEC"/>
    <w:rsid w:val="00280B52"/>
    <w:rsid w:val="00281868"/>
    <w:rsid w:val="00284FF9"/>
    <w:rsid w:val="002850F6"/>
    <w:rsid w:val="00285166"/>
    <w:rsid w:val="002858CF"/>
    <w:rsid w:val="002862B3"/>
    <w:rsid w:val="002925A3"/>
    <w:rsid w:val="00292D0D"/>
    <w:rsid w:val="002945E0"/>
    <w:rsid w:val="00297301"/>
    <w:rsid w:val="0029745B"/>
    <w:rsid w:val="00297BCF"/>
    <w:rsid w:val="002A08F0"/>
    <w:rsid w:val="002A2BBF"/>
    <w:rsid w:val="002A69CF"/>
    <w:rsid w:val="002A73CA"/>
    <w:rsid w:val="002A73D2"/>
    <w:rsid w:val="002A7EA0"/>
    <w:rsid w:val="002B0899"/>
    <w:rsid w:val="002B29D8"/>
    <w:rsid w:val="002B4B5B"/>
    <w:rsid w:val="002B54D5"/>
    <w:rsid w:val="002C000C"/>
    <w:rsid w:val="002C217B"/>
    <w:rsid w:val="002C340C"/>
    <w:rsid w:val="002C44A7"/>
    <w:rsid w:val="002C5696"/>
    <w:rsid w:val="002D272D"/>
    <w:rsid w:val="002D27A2"/>
    <w:rsid w:val="002D2F62"/>
    <w:rsid w:val="002D6860"/>
    <w:rsid w:val="002D731A"/>
    <w:rsid w:val="002E1767"/>
    <w:rsid w:val="002E1EA2"/>
    <w:rsid w:val="002E4C9A"/>
    <w:rsid w:val="002E5B5E"/>
    <w:rsid w:val="002E5EE3"/>
    <w:rsid w:val="002E6F76"/>
    <w:rsid w:val="002F0457"/>
    <w:rsid w:val="002F0F13"/>
    <w:rsid w:val="002F1550"/>
    <w:rsid w:val="002F3657"/>
    <w:rsid w:val="002F6093"/>
    <w:rsid w:val="00302B59"/>
    <w:rsid w:val="0030474B"/>
    <w:rsid w:val="003054AA"/>
    <w:rsid w:val="00305DC9"/>
    <w:rsid w:val="00305DED"/>
    <w:rsid w:val="003060D1"/>
    <w:rsid w:val="00306309"/>
    <w:rsid w:val="00306E39"/>
    <w:rsid w:val="0030721E"/>
    <w:rsid w:val="003104F3"/>
    <w:rsid w:val="00317E0C"/>
    <w:rsid w:val="00322623"/>
    <w:rsid w:val="00323F09"/>
    <w:rsid w:val="00324ABE"/>
    <w:rsid w:val="0032574B"/>
    <w:rsid w:val="00325C1C"/>
    <w:rsid w:val="00326359"/>
    <w:rsid w:val="00327BED"/>
    <w:rsid w:val="00327E8B"/>
    <w:rsid w:val="003319B7"/>
    <w:rsid w:val="00333B42"/>
    <w:rsid w:val="00334D65"/>
    <w:rsid w:val="00334F02"/>
    <w:rsid w:val="00335339"/>
    <w:rsid w:val="003356A1"/>
    <w:rsid w:val="00336FB7"/>
    <w:rsid w:val="00340042"/>
    <w:rsid w:val="0034033C"/>
    <w:rsid w:val="00342FBC"/>
    <w:rsid w:val="00346073"/>
    <w:rsid w:val="003505B2"/>
    <w:rsid w:val="00350E57"/>
    <w:rsid w:val="0035117E"/>
    <w:rsid w:val="00352015"/>
    <w:rsid w:val="0035264F"/>
    <w:rsid w:val="00354AF0"/>
    <w:rsid w:val="00356142"/>
    <w:rsid w:val="0035644C"/>
    <w:rsid w:val="0035759D"/>
    <w:rsid w:val="003576BE"/>
    <w:rsid w:val="003577E7"/>
    <w:rsid w:val="00357D0F"/>
    <w:rsid w:val="00357EA6"/>
    <w:rsid w:val="00360757"/>
    <w:rsid w:val="00360F4A"/>
    <w:rsid w:val="00364465"/>
    <w:rsid w:val="0036592D"/>
    <w:rsid w:val="003671ED"/>
    <w:rsid w:val="00372619"/>
    <w:rsid w:val="003740F0"/>
    <w:rsid w:val="003746E1"/>
    <w:rsid w:val="00375F7B"/>
    <w:rsid w:val="00376AF9"/>
    <w:rsid w:val="0038140D"/>
    <w:rsid w:val="00381927"/>
    <w:rsid w:val="00381ACD"/>
    <w:rsid w:val="00381B12"/>
    <w:rsid w:val="00382BE8"/>
    <w:rsid w:val="003846E8"/>
    <w:rsid w:val="003850FF"/>
    <w:rsid w:val="003857B5"/>
    <w:rsid w:val="00385BFD"/>
    <w:rsid w:val="00385E79"/>
    <w:rsid w:val="003867B2"/>
    <w:rsid w:val="00386918"/>
    <w:rsid w:val="00387570"/>
    <w:rsid w:val="003878BD"/>
    <w:rsid w:val="00391D23"/>
    <w:rsid w:val="003947FF"/>
    <w:rsid w:val="00395E4D"/>
    <w:rsid w:val="00397124"/>
    <w:rsid w:val="00397E48"/>
    <w:rsid w:val="003A05BE"/>
    <w:rsid w:val="003A083F"/>
    <w:rsid w:val="003A1946"/>
    <w:rsid w:val="003A20D2"/>
    <w:rsid w:val="003A2215"/>
    <w:rsid w:val="003A2DFA"/>
    <w:rsid w:val="003A5478"/>
    <w:rsid w:val="003A57E5"/>
    <w:rsid w:val="003A6282"/>
    <w:rsid w:val="003B0E92"/>
    <w:rsid w:val="003B1277"/>
    <w:rsid w:val="003B3BB8"/>
    <w:rsid w:val="003B3D16"/>
    <w:rsid w:val="003B5405"/>
    <w:rsid w:val="003B6071"/>
    <w:rsid w:val="003C0A69"/>
    <w:rsid w:val="003C3296"/>
    <w:rsid w:val="003C370C"/>
    <w:rsid w:val="003C454C"/>
    <w:rsid w:val="003C4A4B"/>
    <w:rsid w:val="003C6692"/>
    <w:rsid w:val="003C7B13"/>
    <w:rsid w:val="003D0641"/>
    <w:rsid w:val="003D069C"/>
    <w:rsid w:val="003D09E0"/>
    <w:rsid w:val="003D50A3"/>
    <w:rsid w:val="003D6334"/>
    <w:rsid w:val="003D650D"/>
    <w:rsid w:val="003D7E21"/>
    <w:rsid w:val="003E01C9"/>
    <w:rsid w:val="003E2101"/>
    <w:rsid w:val="003E5453"/>
    <w:rsid w:val="003E75F9"/>
    <w:rsid w:val="003E78F6"/>
    <w:rsid w:val="003F496D"/>
    <w:rsid w:val="003F7DCD"/>
    <w:rsid w:val="00400324"/>
    <w:rsid w:val="00400D39"/>
    <w:rsid w:val="00400D40"/>
    <w:rsid w:val="00401976"/>
    <w:rsid w:val="00403F96"/>
    <w:rsid w:val="00405886"/>
    <w:rsid w:val="00405F9F"/>
    <w:rsid w:val="00410F18"/>
    <w:rsid w:val="00411BDB"/>
    <w:rsid w:val="004141AD"/>
    <w:rsid w:val="004151C4"/>
    <w:rsid w:val="0041547B"/>
    <w:rsid w:val="00421AF4"/>
    <w:rsid w:val="00425BE5"/>
    <w:rsid w:val="004267AE"/>
    <w:rsid w:val="004268D6"/>
    <w:rsid w:val="00427F6E"/>
    <w:rsid w:val="00430622"/>
    <w:rsid w:val="0043095F"/>
    <w:rsid w:val="00432BD3"/>
    <w:rsid w:val="00436762"/>
    <w:rsid w:val="00436886"/>
    <w:rsid w:val="00440FAA"/>
    <w:rsid w:val="00441D3C"/>
    <w:rsid w:val="00442353"/>
    <w:rsid w:val="00445084"/>
    <w:rsid w:val="00445EAC"/>
    <w:rsid w:val="0045032A"/>
    <w:rsid w:val="00450390"/>
    <w:rsid w:val="004573FE"/>
    <w:rsid w:val="00460E9C"/>
    <w:rsid w:val="004613FD"/>
    <w:rsid w:val="00462A09"/>
    <w:rsid w:val="00464A38"/>
    <w:rsid w:val="0046508E"/>
    <w:rsid w:val="00465590"/>
    <w:rsid w:val="00465C9D"/>
    <w:rsid w:val="0046723E"/>
    <w:rsid w:val="00467887"/>
    <w:rsid w:val="004703C9"/>
    <w:rsid w:val="0047044D"/>
    <w:rsid w:val="00472166"/>
    <w:rsid w:val="00474748"/>
    <w:rsid w:val="004755A8"/>
    <w:rsid w:val="00477857"/>
    <w:rsid w:val="00477D04"/>
    <w:rsid w:val="00481031"/>
    <w:rsid w:val="0048456A"/>
    <w:rsid w:val="004846DA"/>
    <w:rsid w:val="0048479A"/>
    <w:rsid w:val="00484DDE"/>
    <w:rsid w:val="00484EC4"/>
    <w:rsid w:val="004856F2"/>
    <w:rsid w:val="00486AAF"/>
    <w:rsid w:val="0049050B"/>
    <w:rsid w:val="004915B2"/>
    <w:rsid w:val="00491AD9"/>
    <w:rsid w:val="0049339D"/>
    <w:rsid w:val="0049415C"/>
    <w:rsid w:val="00494B4A"/>
    <w:rsid w:val="00496509"/>
    <w:rsid w:val="004A03C2"/>
    <w:rsid w:val="004A12AD"/>
    <w:rsid w:val="004A154B"/>
    <w:rsid w:val="004A2966"/>
    <w:rsid w:val="004A3CFB"/>
    <w:rsid w:val="004A44C2"/>
    <w:rsid w:val="004A5A48"/>
    <w:rsid w:val="004B0BAC"/>
    <w:rsid w:val="004B531C"/>
    <w:rsid w:val="004B569D"/>
    <w:rsid w:val="004C0067"/>
    <w:rsid w:val="004C04F4"/>
    <w:rsid w:val="004C08B8"/>
    <w:rsid w:val="004C14F8"/>
    <w:rsid w:val="004C162D"/>
    <w:rsid w:val="004C6A4A"/>
    <w:rsid w:val="004C78A8"/>
    <w:rsid w:val="004D0353"/>
    <w:rsid w:val="004D07B1"/>
    <w:rsid w:val="004D07B7"/>
    <w:rsid w:val="004D29DB"/>
    <w:rsid w:val="004D3B15"/>
    <w:rsid w:val="004D6FB7"/>
    <w:rsid w:val="004E03EF"/>
    <w:rsid w:val="004E4BA9"/>
    <w:rsid w:val="004E5493"/>
    <w:rsid w:val="004E6EA2"/>
    <w:rsid w:val="004E7B9C"/>
    <w:rsid w:val="004E7BC6"/>
    <w:rsid w:val="004F1502"/>
    <w:rsid w:val="004F201D"/>
    <w:rsid w:val="004F6DB1"/>
    <w:rsid w:val="004F7546"/>
    <w:rsid w:val="005019B6"/>
    <w:rsid w:val="00501C06"/>
    <w:rsid w:val="0050306A"/>
    <w:rsid w:val="00503587"/>
    <w:rsid w:val="0050520D"/>
    <w:rsid w:val="005057A3"/>
    <w:rsid w:val="005066E4"/>
    <w:rsid w:val="005100C7"/>
    <w:rsid w:val="005105A2"/>
    <w:rsid w:val="00510E28"/>
    <w:rsid w:val="00511E44"/>
    <w:rsid w:val="00512B75"/>
    <w:rsid w:val="00512CD8"/>
    <w:rsid w:val="00515BD0"/>
    <w:rsid w:val="00515CD9"/>
    <w:rsid w:val="00516601"/>
    <w:rsid w:val="00517B71"/>
    <w:rsid w:val="00521160"/>
    <w:rsid w:val="005214E4"/>
    <w:rsid w:val="00521584"/>
    <w:rsid w:val="005250C9"/>
    <w:rsid w:val="005267DE"/>
    <w:rsid w:val="0053034B"/>
    <w:rsid w:val="00531F6F"/>
    <w:rsid w:val="00535546"/>
    <w:rsid w:val="00535645"/>
    <w:rsid w:val="00536877"/>
    <w:rsid w:val="00536F9C"/>
    <w:rsid w:val="00540ED4"/>
    <w:rsid w:val="005433EB"/>
    <w:rsid w:val="00544CB1"/>
    <w:rsid w:val="005502FA"/>
    <w:rsid w:val="00552ECC"/>
    <w:rsid w:val="00553DC9"/>
    <w:rsid w:val="00560770"/>
    <w:rsid w:val="00561E7C"/>
    <w:rsid w:val="00562DB6"/>
    <w:rsid w:val="00563C86"/>
    <w:rsid w:val="00565016"/>
    <w:rsid w:val="00567DC5"/>
    <w:rsid w:val="00571A82"/>
    <w:rsid w:val="00572408"/>
    <w:rsid w:val="00573C03"/>
    <w:rsid w:val="00573ED8"/>
    <w:rsid w:val="00574F34"/>
    <w:rsid w:val="00575056"/>
    <w:rsid w:val="005754B4"/>
    <w:rsid w:val="00575AAB"/>
    <w:rsid w:val="005770FF"/>
    <w:rsid w:val="00580142"/>
    <w:rsid w:val="00581E8F"/>
    <w:rsid w:val="00582265"/>
    <w:rsid w:val="00582816"/>
    <w:rsid w:val="00582F15"/>
    <w:rsid w:val="00583507"/>
    <w:rsid w:val="00583AA1"/>
    <w:rsid w:val="00584441"/>
    <w:rsid w:val="005852D7"/>
    <w:rsid w:val="005868EE"/>
    <w:rsid w:val="00590F96"/>
    <w:rsid w:val="00590FFC"/>
    <w:rsid w:val="00591484"/>
    <w:rsid w:val="00595511"/>
    <w:rsid w:val="005969AE"/>
    <w:rsid w:val="00596BD2"/>
    <w:rsid w:val="00597D71"/>
    <w:rsid w:val="005A100D"/>
    <w:rsid w:val="005A2222"/>
    <w:rsid w:val="005A5A20"/>
    <w:rsid w:val="005A5E02"/>
    <w:rsid w:val="005A631C"/>
    <w:rsid w:val="005A64BE"/>
    <w:rsid w:val="005A6ED0"/>
    <w:rsid w:val="005B13FE"/>
    <w:rsid w:val="005B410B"/>
    <w:rsid w:val="005B4163"/>
    <w:rsid w:val="005B4FD3"/>
    <w:rsid w:val="005B501E"/>
    <w:rsid w:val="005B5CAD"/>
    <w:rsid w:val="005B69ED"/>
    <w:rsid w:val="005B70B3"/>
    <w:rsid w:val="005C49AE"/>
    <w:rsid w:val="005C72E9"/>
    <w:rsid w:val="005D047D"/>
    <w:rsid w:val="005D0FD6"/>
    <w:rsid w:val="005D206E"/>
    <w:rsid w:val="005D22F9"/>
    <w:rsid w:val="005D33DF"/>
    <w:rsid w:val="005D5658"/>
    <w:rsid w:val="005D6BDA"/>
    <w:rsid w:val="005D760F"/>
    <w:rsid w:val="005E0085"/>
    <w:rsid w:val="005E302B"/>
    <w:rsid w:val="005E36F0"/>
    <w:rsid w:val="005E6483"/>
    <w:rsid w:val="005E73B2"/>
    <w:rsid w:val="005E75CA"/>
    <w:rsid w:val="005F0AD5"/>
    <w:rsid w:val="005F118C"/>
    <w:rsid w:val="005F317B"/>
    <w:rsid w:val="005F45B7"/>
    <w:rsid w:val="005F4A23"/>
    <w:rsid w:val="005F5B61"/>
    <w:rsid w:val="005F7505"/>
    <w:rsid w:val="00601D89"/>
    <w:rsid w:val="00605C8C"/>
    <w:rsid w:val="00606EB6"/>
    <w:rsid w:val="006119E4"/>
    <w:rsid w:val="00613ACC"/>
    <w:rsid w:val="00613B54"/>
    <w:rsid w:val="006150CA"/>
    <w:rsid w:val="00616858"/>
    <w:rsid w:val="00616A21"/>
    <w:rsid w:val="00621F03"/>
    <w:rsid w:val="00622F07"/>
    <w:rsid w:val="00623274"/>
    <w:rsid w:val="00626840"/>
    <w:rsid w:val="00627A74"/>
    <w:rsid w:val="00627B38"/>
    <w:rsid w:val="00633419"/>
    <w:rsid w:val="00633FA7"/>
    <w:rsid w:val="00634014"/>
    <w:rsid w:val="00635C23"/>
    <w:rsid w:val="00636C0F"/>
    <w:rsid w:val="00640FC1"/>
    <w:rsid w:val="006422A8"/>
    <w:rsid w:val="0064285E"/>
    <w:rsid w:val="00643032"/>
    <w:rsid w:val="00644708"/>
    <w:rsid w:val="00644764"/>
    <w:rsid w:val="00645F0B"/>
    <w:rsid w:val="006518D7"/>
    <w:rsid w:val="00651C75"/>
    <w:rsid w:val="006522B9"/>
    <w:rsid w:val="00652311"/>
    <w:rsid w:val="00652403"/>
    <w:rsid w:val="0065463F"/>
    <w:rsid w:val="00654954"/>
    <w:rsid w:val="0065511C"/>
    <w:rsid w:val="00655470"/>
    <w:rsid w:val="006563B4"/>
    <w:rsid w:val="00656580"/>
    <w:rsid w:val="00660772"/>
    <w:rsid w:val="006635FF"/>
    <w:rsid w:val="00664F03"/>
    <w:rsid w:val="0066503F"/>
    <w:rsid w:val="00665975"/>
    <w:rsid w:val="00666D7D"/>
    <w:rsid w:val="00670556"/>
    <w:rsid w:val="006705AC"/>
    <w:rsid w:val="0067101D"/>
    <w:rsid w:val="00681079"/>
    <w:rsid w:val="00682507"/>
    <w:rsid w:val="0068505B"/>
    <w:rsid w:val="0068549A"/>
    <w:rsid w:val="00685AF2"/>
    <w:rsid w:val="00685C97"/>
    <w:rsid w:val="006918FC"/>
    <w:rsid w:val="00692F49"/>
    <w:rsid w:val="00693022"/>
    <w:rsid w:val="006968CD"/>
    <w:rsid w:val="00696B10"/>
    <w:rsid w:val="00696C81"/>
    <w:rsid w:val="006970D9"/>
    <w:rsid w:val="00697F6C"/>
    <w:rsid w:val="006A1F91"/>
    <w:rsid w:val="006A2BA6"/>
    <w:rsid w:val="006A3C8D"/>
    <w:rsid w:val="006A609C"/>
    <w:rsid w:val="006A658E"/>
    <w:rsid w:val="006A6611"/>
    <w:rsid w:val="006B2407"/>
    <w:rsid w:val="006B2AF4"/>
    <w:rsid w:val="006B2EF2"/>
    <w:rsid w:val="006B318C"/>
    <w:rsid w:val="006B33E2"/>
    <w:rsid w:val="006B4492"/>
    <w:rsid w:val="006B4FAF"/>
    <w:rsid w:val="006C177B"/>
    <w:rsid w:val="006C2896"/>
    <w:rsid w:val="006D0832"/>
    <w:rsid w:val="006D0C64"/>
    <w:rsid w:val="006D49BB"/>
    <w:rsid w:val="006D63A4"/>
    <w:rsid w:val="006D69CA"/>
    <w:rsid w:val="006D6D5C"/>
    <w:rsid w:val="006E083F"/>
    <w:rsid w:val="006E1459"/>
    <w:rsid w:val="006E4F7A"/>
    <w:rsid w:val="006E6D27"/>
    <w:rsid w:val="006F147E"/>
    <w:rsid w:val="006F152D"/>
    <w:rsid w:val="006F4E39"/>
    <w:rsid w:val="006F5BB4"/>
    <w:rsid w:val="006F77BA"/>
    <w:rsid w:val="00700148"/>
    <w:rsid w:val="00701A23"/>
    <w:rsid w:val="00702490"/>
    <w:rsid w:val="00704635"/>
    <w:rsid w:val="00706E5A"/>
    <w:rsid w:val="007115FB"/>
    <w:rsid w:val="00712345"/>
    <w:rsid w:val="00714DBD"/>
    <w:rsid w:val="00716281"/>
    <w:rsid w:val="007174B1"/>
    <w:rsid w:val="0072407C"/>
    <w:rsid w:val="00725380"/>
    <w:rsid w:val="007302E2"/>
    <w:rsid w:val="007356C4"/>
    <w:rsid w:val="00736388"/>
    <w:rsid w:val="007365B2"/>
    <w:rsid w:val="00741C8E"/>
    <w:rsid w:val="00741E29"/>
    <w:rsid w:val="00741FA2"/>
    <w:rsid w:val="00743DAC"/>
    <w:rsid w:val="007454EF"/>
    <w:rsid w:val="00745D5D"/>
    <w:rsid w:val="0075017F"/>
    <w:rsid w:val="007512B5"/>
    <w:rsid w:val="00752158"/>
    <w:rsid w:val="00752BA1"/>
    <w:rsid w:val="00752FD5"/>
    <w:rsid w:val="00754B99"/>
    <w:rsid w:val="00756665"/>
    <w:rsid w:val="00762E2B"/>
    <w:rsid w:val="007634F0"/>
    <w:rsid w:val="00764854"/>
    <w:rsid w:val="007666D1"/>
    <w:rsid w:val="00770F64"/>
    <w:rsid w:val="00771C2E"/>
    <w:rsid w:val="007770B9"/>
    <w:rsid w:val="007841B5"/>
    <w:rsid w:val="007856C9"/>
    <w:rsid w:val="0078673B"/>
    <w:rsid w:val="007867CC"/>
    <w:rsid w:val="00790A23"/>
    <w:rsid w:val="00791A0F"/>
    <w:rsid w:val="00793DFF"/>
    <w:rsid w:val="007944A9"/>
    <w:rsid w:val="007944C4"/>
    <w:rsid w:val="0079562B"/>
    <w:rsid w:val="007968E8"/>
    <w:rsid w:val="00797DDE"/>
    <w:rsid w:val="007A2422"/>
    <w:rsid w:val="007A3093"/>
    <w:rsid w:val="007A3C20"/>
    <w:rsid w:val="007A4345"/>
    <w:rsid w:val="007A539F"/>
    <w:rsid w:val="007A5A24"/>
    <w:rsid w:val="007A5BA6"/>
    <w:rsid w:val="007A5D86"/>
    <w:rsid w:val="007A6FC4"/>
    <w:rsid w:val="007B0468"/>
    <w:rsid w:val="007B081B"/>
    <w:rsid w:val="007B334A"/>
    <w:rsid w:val="007B5110"/>
    <w:rsid w:val="007B6163"/>
    <w:rsid w:val="007B6E37"/>
    <w:rsid w:val="007B7634"/>
    <w:rsid w:val="007D0A26"/>
    <w:rsid w:val="007D10BB"/>
    <w:rsid w:val="007D2000"/>
    <w:rsid w:val="007D2767"/>
    <w:rsid w:val="007D4391"/>
    <w:rsid w:val="007E0D3D"/>
    <w:rsid w:val="007E28BE"/>
    <w:rsid w:val="007E2BCC"/>
    <w:rsid w:val="007E6178"/>
    <w:rsid w:val="007F03A4"/>
    <w:rsid w:val="007F1ACF"/>
    <w:rsid w:val="007F2DF4"/>
    <w:rsid w:val="007F370E"/>
    <w:rsid w:val="007F5FA4"/>
    <w:rsid w:val="007F630B"/>
    <w:rsid w:val="007F6525"/>
    <w:rsid w:val="00800576"/>
    <w:rsid w:val="00802BA2"/>
    <w:rsid w:val="00802E59"/>
    <w:rsid w:val="00802EE6"/>
    <w:rsid w:val="00804BC5"/>
    <w:rsid w:val="008052C3"/>
    <w:rsid w:val="00805B26"/>
    <w:rsid w:val="00807414"/>
    <w:rsid w:val="0080789E"/>
    <w:rsid w:val="008131A3"/>
    <w:rsid w:val="008149AB"/>
    <w:rsid w:val="00815338"/>
    <w:rsid w:val="00817924"/>
    <w:rsid w:val="00820686"/>
    <w:rsid w:val="0082167E"/>
    <w:rsid w:val="00822411"/>
    <w:rsid w:val="00823361"/>
    <w:rsid w:val="00824711"/>
    <w:rsid w:val="00825055"/>
    <w:rsid w:val="0082510F"/>
    <w:rsid w:val="00830C98"/>
    <w:rsid w:val="00832563"/>
    <w:rsid w:val="00832797"/>
    <w:rsid w:val="00833852"/>
    <w:rsid w:val="00834176"/>
    <w:rsid w:val="00834F89"/>
    <w:rsid w:val="008368BE"/>
    <w:rsid w:val="00840A16"/>
    <w:rsid w:val="00841437"/>
    <w:rsid w:val="008427D9"/>
    <w:rsid w:val="00843ED5"/>
    <w:rsid w:val="00847DD4"/>
    <w:rsid w:val="00851B58"/>
    <w:rsid w:val="00851D43"/>
    <w:rsid w:val="00852CC3"/>
    <w:rsid w:val="0085445D"/>
    <w:rsid w:val="00855B82"/>
    <w:rsid w:val="008562F1"/>
    <w:rsid w:val="0085709B"/>
    <w:rsid w:val="00857687"/>
    <w:rsid w:val="008603A5"/>
    <w:rsid w:val="00860A2F"/>
    <w:rsid w:val="00861B7F"/>
    <w:rsid w:val="008624AA"/>
    <w:rsid w:val="00866739"/>
    <w:rsid w:val="00867810"/>
    <w:rsid w:val="008705B3"/>
    <w:rsid w:val="0087269E"/>
    <w:rsid w:val="008735A6"/>
    <w:rsid w:val="008737A7"/>
    <w:rsid w:val="008741FB"/>
    <w:rsid w:val="008742E2"/>
    <w:rsid w:val="008751F0"/>
    <w:rsid w:val="00877EB9"/>
    <w:rsid w:val="00880E3F"/>
    <w:rsid w:val="0088164E"/>
    <w:rsid w:val="00881DD6"/>
    <w:rsid w:val="008833D5"/>
    <w:rsid w:val="00883B0A"/>
    <w:rsid w:val="00884E02"/>
    <w:rsid w:val="008879A4"/>
    <w:rsid w:val="008900CB"/>
    <w:rsid w:val="00890207"/>
    <w:rsid w:val="00890B5F"/>
    <w:rsid w:val="008911D4"/>
    <w:rsid w:val="0089172C"/>
    <w:rsid w:val="00893E16"/>
    <w:rsid w:val="008A0E13"/>
    <w:rsid w:val="008A269D"/>
    <w:rsid w:val="008A4907"/>
    <w:rsid w:val="008A5268"/>
    <w:rsid w:val="008A601B"/>
    <w:rsid w:val="008A68B4"/>
    <w:rsid w:val="008A691F"/>
    <w:rsid w:val="008A7DF2"/>
    <w:rsid w:val="008B0561"/>
    <w:rsid w:val="008B21BA"/>
    <w:rsid w:val="008B6778"/>
    <w:rsid w:val="008C0C1C"/>
    <w:rsid w:val="008C1620"/>
    <w:rsid w:val="008C17D9"/>
    <w:rsid w:val="008C1ADB"/>
    <w:rsid w:val="008C432C"/>
    <w:rsid w:val="008D0684"/>
    <w:rsid w:val="008D06AC"/>
    <w:rsid w:val="008D2160"/>
    <w:rsid w:val="008D34EA"/>
    <w:rsid w:val="008D4EDC"/>
    <w:rsid w:val="008D5BCA"/>
    <w:rsid w:val="008D5EA1"/>
    <w:rsid w:val="008D63B1"/>
    <w:rsid w:val="008D63CD"/>
    <w:rsid w:val="008D7149"/>
    <w:rsid w:val="008D7FF9"/>
    <w:rsid w:val="008E0034"/>
    <w:rsid w:val="008E0DF2"/>
    <w:rsid w:val="008E5A64"/>
    <w:rsid w:val="008E5C84"/>
    <w:rsid w:val="008E710A"/>
    <w:rsid w:val="008F24FD"/>
    <w:rsid w:val="008F2B51"/>
    <w:rsid w:val="008F2E66"/>
    <w:rsid w:val="008F4FA7"/>
    <w:rsid w:val="008F51DD"/>
    <w:rsid w:val="008F5866"/>
    <w:rsid w:val="008F6E42"/>
    <w:rsid w:val="00900435"/>
    <w:rsid w:val="00900970"/>
    <w:rsid w:val="0090181B"/>
    <w:rsid w:val="00901D9F"/>
    <w:rsid w:val="00902348"/>
    <w:rsid w:val="00902678"/>
    <w:rsid w:val="0090365E"/>
    <w:rsid w:val="0090549A"/>
    <w:rsid w:val="009065AA"/>
    <w:rsid w:val="00906833"/>
    <w:rsid w:val="00906BE2"/>
    <w:rsid w:val="00913101"/>
    <w:rsid w:val="00913B0D"/>
    <w:rsid w:val="009140BE"/>
    <w:rsid w:val="00914AB7"/>
    <w:rsid w:val="00914B5A"/>
    <w:rsid w:val="00914C16"/>
    <w:rsid w:val="00920598"/>
    <w:rsid w:val="0092162A"/>
    <w:rsid w:val="00921C53"/>
    <w:rsid w:val="00921DD1"/>
    <w:rsid w:val="00922D2D"/>
    <w:rsid w:val="00922F68"/>
    <w:rsid w:val="00925716"/>
    <w:rsid w:val="00926B3C"/>
    <w:rsid w:val="009316F3"/>
    <w:rsid w:val="009319C6"/>
    <w:rsid w:val="009321C6"/>
    <w:rsid w:val="00933E6A"/>
    <w:rsid w:val="009376D1"/>
    <w:rsid w:val="0094066B"/>
    <w:rsid w:val="009406AB"/>
    <w:rsid w:val="00942BF7"/>
    <w:rsid w:val="009432FD"/>
    <w:rsid w:val="00944B50"/>
    <w:rsid w:val="00945062"/>
    <w:rsid w:val="00945432"/>
    <w:rsid w:val="00946067"/>
    <w:rsid w:val="00946EE5"/>
    <w:rsid w:val="00946FA4"/>
    <w:rsid w:val="009470F2"/>
    <w:rsid w:val="00947756"/>
    <w:rsid w:val="00947AC8"/>
    <w:rsid w:val="00947BEF"/>
    <w:rsid w:val="009501D3"/>
    <w:rsid w:val="009513FB"/>
    <w:rsid w:val="009533E5"/>
    <w:rsid w:val="00953A40"/>
    <w:rsid w:val="00953B8F"/>
    <w:rsid w:val="00954F47"/>
    <w:rsid w:val="009574D2"/>
    <w:rsid w:val="009610D5"/>
    <w:rsid w:val="0096440F"/>
    <w:rsid w:val="00964D42"/>
    <w:rsid w:val="009663A7"/>
    <w:rsid w:val="009715B9"/>
    <w:rsid w:val="00971935"/>
    <w:rsid w:val="00973196"/>
    <w:rsid w:val="0097328D"/>
    <w:rsid w:val="00973CFA"/>
    <w:rsid w:val="00973E62"/>
    <w:rsid w:val="0097536F"/>
    <w:rsid w:val="009774D5"/>
    <w:rsid w:val="00977E3C"/>
    <w:rsid w:val="0098163C"/>
    <w:rsid w:val="0098304F"/>
    <w:rsid w:val="0098406E"/>
    <w:rsid w:val="0098547A"/>
    <w:rsid w:val="00985E7B"/>
    <w:rsid w:val="00985E9C"/>
    <w:rsid w:val="00990427"/>
    <w:rsid w:val="00990552"/>
    <w:rsid w:val="00990591"/>
    <w:rsid w:val="009912A0"/>
    <w:rsid w:val="00993E21"/>
    <w:rsid w:val="00994DA3"/>
    <w:rsid w:val="009953D6"/>
    <w:rsid w:val="00995A24"/>
    <w:rsid w:val="00995C45"/>
    <w:rsid w:val="00996CB7"/>
    <w:rsid w:val="009A269E"/>
    <w:rsid w:val="009A299C"/>
    <w:rsid w:val="009A2DA1"/>
    <w:rsid w:val="009A6A25"/>
    <w:rsid w:val="009A6DA3"/>
    <w:rsid w:val="009B13B0"/>
    <w:rsid w:val="009B33B5"/>
    <w:rsid w:val="009B76DE"/>
    <w:rsid w:val="009C0679"/>
    <w:rsid w:val="009C0EA6"/>
    <w:rsid w:val="009C3B29"/>
    <w:rsid w:val="009C45DE"/>
    <w:rsid w:val="009C4ACF"/>
    <w:rsid w:val="009C50C6"/>
    <w:rsid w:val="009C6A7D"/>
    <w:rsid w:val="009C6CD5"/>
    <w:rsid w:val="009C76F9"/>
    <w:rsid w:val="009D1331"/>
    <w:rsid w:val="009D38EB"/>
    <w:rsid w:val="009D3FAA"/>
    <w:rsid w:val="009D77D1"/>
    <w:rsid w:val="009E45D0"/>
    <w:rsid w:val="009E511D"/>
    <w:rsid w:val="009E71B8"/>
    <w:rsid w:val="009E7829"/>
    <w:rsid w:val="009E7D30"/>
    <w:rsid w:val="009F013B"/>
    <w:rsid w:val="009F0A7B"/>
    <w:rsid w:val="009F2573"/>
    <w:rsid w:val="009F460A"/>
    <w:rsid w:val="009F62AD"/>
    <w:rsid w:val="009F7319"/>
    <w:rsid w:val="009F7448"/>
    <w:rsid w:val="009F75D1"/>
    <w:rsid w:val="00A02440"/>
    <w:rsid w:val="00A03BF7"/>
    <w:rsid w:val="00A04972"/>
    <w:rsid w:val="00A055E9"/>
    <w:rsid w:val="00A05749"/>
    <w:rsid w:val="00A1482A"/>
    <w:rsid w:val="00A20198"/>
    <w:rsid w:val="00A202A6"/>
    <w:rsid w:val="00A21B1B"/>
    <w:rsid w:val="00A242F2"/>
    <w:rsid w:val="00A27AB4"/>
    <w:rsid w:val="00A27D8E"/>
    <w:rsid w:val="00A30917"/>
    <w:rsid w:val="00A3154F"/>
    <w:rsid w:val="00A31AB7"/>
    <w:rsid w:val="00A320C4"/>
    <w:rsid w:val="00A35A2D"/>
    <w:rsid w:val="00A37DC3"/>
    <w:rsid w:val="00A407A8"/>
    <w:rsid w:val="00A414F6"/>
    <w:rsid w:val="00A42940"/>
    <w:rsid w:val="00A43292"/>
    <w:rsid w:val="00A44F46"/>
    <w:rsid w:val="00A469D1"/>
    <w:rsid w:val="00A46B09"/>
    <w:rsid w:val="00A47751"/>
    <w:rsid w:val="00A47F89"/>
    <w:rsid w:val="00A52628"/>
    <w:rsid w:val="00A556EF"/>
    <w:rsid w:val="00A55D86"/>
    <w:rsid w:val="00A57BA6"/>
    <w:rsid w:val="00A6235D"/>
    <w:rsid w:val="00A631C9"/>
    <w:rsid w:val="00A63313"/>
    <w:rsid w:val="00A63707"/>
    <w:rsid w:val="00A63F09"/>
    <w:rsid w:val="00A6430C"/>
    <w:rsid w:val="00A64A18"/>
    <w:rsid w:val="00A64FCF"/>
    <w:rsid w:val="00A74CA0"/>
    <w:rsid w:val="00A75C93"/>
    <w:rsid w:val="00A7760A"/>
    <w:rsid w:val="00A83433"/>
    <w:rsid w:val="00A85C14"/>
    <w:rsid w:val="00A86438"/>
    <w:rsid w:val="00A86D34"/>
    <w:rsid w:val="00A87A0A"/>
    <w:rsid w:val="00A9040E"/>
    <w:rsid w:val="00A9091A"/>
    <w:rsid w:val="00A909E1"/>
    <w:rsid w:val="00A90DD1"/>
    <w:rsid w:val="00A91099"/>
    <w:rsid w:val="00A927DA"/>
    <w:rsid w:val="00A960B0"/>
    <w:rsid w:val="00A974A2"/>
    <w:rsid w:val="00A978A6"/>
    <w:rsid w:val="00AA0683"/>
    <w:rsid w:val="00AA07BB"/>
    <w:rsid w:val="00AA38F9"/>
    <w:rsid w:val="00AB0C75"/>
    <w:rsid w:val="00AB1532"/>
    <w:rsid w:val="00AB1939"/>
    <w:rsid w:val="00AB1D68"/>
    <w:rsid w:val="00AB2FB7"/>
    <w:rsid w:val="00AB4A25"/>
    <w:rsid w:val="00AB594E"/>
    <w:rsid w:val="00AC197E"/>
    <w:rsid w:val="00AC1B64"/>
    <w:rsid w:val="00AC4CBB"/>
    <w:rsid w:val="00AC7660"/>
    <w:rsid w:val="00AC7B32"/>
    <w:rsid w:val="00AD1B6A"/>
    <w:rsid w:val="00AD2A61"/>
    <w:rsid w:val="00AD322C"/>
    <w:rsid w:val="00AD4C08"/>
    <w:rsid w:val="00AE63DE"/>
    <w:rsid w:val="00AE643F"/>
    <w:rsid w:val="00AE681C"/>
    <w:rsid w:val="00AE69C2"/>
    <w:rsid w:val="00AF0A91"/>
    <w:rsid w:val="00AF30B3"/>
    <w:rsid w:val="00AF48B2"/>
    <w:rsid w:val="00AF5991"/>
    <w:rsid w:val="00AF65F6"/>
    <w:rsid w:val="00B01660"/>
    <w:rsid w:val="00B017B4"/>
    <w:rsid w:val="00B04C4A"/>
    <w:rsid w:val="00B05DC2"/>
    <w:rsid w:val="00B06682"/>
    <w:rsid w:val="00B1044B"/>
    <w:rsid w:val="00B12763"/>
    <w:rsid w:val="00B12E04"/>
    <w:rsid w:val="00B12F8D"/>
    <w:rsid w:val="00B1361B"/>
    <w:rsid w:val="00B13DC5"/>
    <w:rsid w:val="00B14B6A"/>
    <w:rsid w:val="00B14CF5"/>
    <w:rsid w:val="00B150F5"/>
    <w:rsid w:val="00B17D30"/>
    <w:rsid w:val="00B17EAC"/>
    <w:rsid w:val="00B202E6"/>
    <w:rsid w:val="00B2198C"/>
    <w:rsid w:val="00B220B9"/>
    <w:rsid w:val="00B23FCD"/>
    <w:rsid w:val="00B261D4"/>
    <w:rsid w:val="00B27C7A"/>
    <w:rsid w:val="00B27E86"/>
    <w:rsid w:val="00B3088C"/>
    <w:rsid w:val="00B30AE6"/>
    <w:rsid w:val="00B31309"/>
    <w:rsid w:val="00B31F08"/>
    <w:rsid w:val="00B34076"/>
    <w:rsid w:val="00B349A8"/>
    <w:rsid w:val="00B34D0A"/>
    <w:rsid w:val="00B35C90"/>
    <w:rsid w:val="00B3649B"/>
    <w:rsid w:val="00B368B0"/>
    <w:rsid w:val="00B36E5F"/>
    <w:rsid w:val="00B3766E"/>
    <w:rsid w:val="00B37956"/>
    <w:rsid w:val="00B41EA6"/>
    <w:rsid w:val="00B43FAA"/>
    <w:rsid w:val="00B44130"/>
    <w:rsid w:val="00B4470B"/>
    <w:rsid w:val="00B44E8B"/>
    <w:rsid w:val="00B453A5"/>
    <w:rsid w:val="00B454F9"/>
    <w:rsid w:val="00B476B7"/>
    <w:rsid w:val="00B50217"/>
    <w:rsid w:val="00B50CA0"/>
    <w:rsid w:val="00B53911"/>
    <w:rsid w:val="00B53EE1"/>
    <w:rsid w:val="00B57A2E"/>
    <w:rsid w:val="00B61F69"/>
    <w:rsid w:val="00B64886"/>
    <w:rsid w:val="00B64B70"/>
    <w:rsid w:val="00B64FDB"/>
    <w:rsid w:val="00B651BA"/>
    <w:rsid w:val="00B6527F"/>
    <w:rsid w:val="00B67588"/>
    <w:rsid w:val="00B717F0"/>
    <w:rsid w:val="00B73354"/>
    <w:rsid w:val="00B764E7"/>
    <w:rsid w:val="00B7697A"/>
    <w:rsid w:val="00B81A47"/>
    <w:rsid w:val="00B8212E"/>
    <w:rsid w:val="00B83CC6"/>
    <w:rsid w:val="00B84152"/>
    <w:rsid w:val="00B846F4"/>
    <w:rsid w:val="00B84C8E"/>
    <w:rsid w:val="00B853D9"/>
    <w:rsid w:val="00B86786"/>
    <w:rsid w:val="00B86C36"/>
    <w:rsid w:val="00B87F48"/>
    <w:rsid w:val="00B92816"/>
    <w:rsid w:val="00B93DC1"/>
    <w:rsid w:val="00B94A2B"/>
    <w:rsid w:val="00B951B4"/>
    <w:rsid w:val="00B96708"/>
    <w:rsid w:val="00BA0039"/>
    <w:rsid w:val="00BA3774"/>
    <w:rsid w:val="00BB25E9"/>
    <w:rsid w:val="00BB4C99"/>
    <w:rsid w:val="00BB51CD"/>
    <w:rsid w:val="00BB58FC"/>
    <w:rsid w:val="00BB5BCB"/>
    <w:rsid w:val="00BB68DD"/>
    <w:rsid w:val="00BB7273"/>
    <w:rsid w:val="00BC068C"/>
    <w:rsid w:val="00BC52DB"/>
    <w:rsid w:val="00BC66B6"/>
    <w:rsid w:val="00BC766C"/>
    <w:rsid w:val="00BD197B"/>
    <w:rsid w:val="00BD2541"/>
    <w:rsid w:val="00BD3575"/>
    <w:rsid w:val="00BD56A7"/>
    <w:rsid w:val="00BD655B"/>
    <w:rsid w:val="00BD75BB"/>
    <w:rsid w:val="00BD7C5A"/>
    <w:rsid w:val="00BE1490"/>
    <w:rsid w:val="00BE1773"/>
    <w:rsid w:val="00BE1876"/>
    <w:rsid w:val="00BE18F2"/>
    <w:rsid w:val="00BE33AE"/>
    <w:rsid w:val="00BE354E"/>
    <w:rsid w:val="00BE428E"/>
    <w:rsid w:val="00BE639E"/>
    <w:rsid w:val="00BE70B9"/>
    <w:rsid w:val="00BF280B"/>
    <w:rsid w:val="00BF3562"/>
    <w:rsid w:val="00BF415B"/>
    <w:rsid w:val="00BF536B"/>
    <w:rsid w:val="00BF570C"/>
    <w:rsid w:val="00C00EFB"/>
    <w:rsid w:val="00C01596"/>
    <w:rsid w:val="00C02C77"/>
    <w:rsid w:val="00C02C8D"/>
    <w:rsid w:val="00C03208"/>
    <w:rsid w:val="00C045C1"/>
    <w:rsid w:val="00C0480B"/>
    <w:rsid w:val="00C050E2"/>
    <w:rsid w:val="00C05A83"/>
    <w:rsid w:val="00C067BF"/>
    <w:rsid w:val="00C06D0A"/>
    <w:rsid w:val="00C06EB1"/>
    <w:rsid w:val="00C10BF0"/>
    <w:rsid w:val="00C110B5"/>
    <w:rsid w:val="00C11D43"/>
    <w:rsid w:val="00C129D2"/>
    <w:rsid w:val="00C14A03"/>
    <w:rsid w:val="00C154CB"/>
    <w:rsid w:val="00C1768F"/>
    <w:rsid w:val="00C22904"/>
    <w:rsid w:val="00C2291C"/>
    <w:rsid w:val="00C2359A"/>
    <w:rsid w:val="00C26333"/>
    <w:rsid w:val="00C2718C"/>
    <w:rsid w:val="00C31B99"/>
    <w:rsid w:val="00C34F58"/>
    <w:rsid w:val="00C35C18"/>
    <w:rsid w:val="00C37016"/>
    <w:rsid w:val="00C373CF"/>
    <w:rsid w:val="00C41C0D"/>
    <w:rsid w:val="00C42065"/>
    <w:rsid w:val="00C4273F"/>
    <w:rsid w:val="00C42FF9"/>
    <w:rsid w:val="00C44D7E"/>
    <w:rsid w:val="00C46D0A"/>
    <w:rsid w:val="00C50034"/>
    <w:rsid w:val="00C50A51"/>
    <w:rsid w:val="00C51F09"/>
    <w:rsid w:val="00C52768"/>
    <w:rsid w:val="00C52EFC"/>
    <w:rsid w:val="00C5316D"/>
    <w:rsid w:val="00C54506"/>
    <w:rsid w:val="00C5525E"/>
    <w:rsid w:val="00C55768"/>
    <w:rsid w:val="00C56378"/>
    <w:rsid w:val="00C567AB"/>
    <w:rsid w:val="00C57D76"/>
    <w:rsid w:val="00C604F9"/>
    <w:rsid w:val="00C668BE"/>
    <w:rsid w:val="00C7233B"/>
    <w:rsid w:val="00C73519"/>
    <w:rsid w:val="00C74C8D"/>
    <w:rsid w:val="00C77303"/>
    <w:rsid w:val="00C77411"/>
    <w:rsid w:val="00C77872"/>
    <w:rsid w:val="00C77EE6"/>
    <w:rsid w:val="00C80AC5"/>
    <w:rsid w:val="00C80AF8"/>
    <w:rsid w:val="00C80F6B"/>
    <w:rsid w:val="00C84077"/>
    <w:rsid w:val="00C847CE"/>
    <w:rsid w:val="00C90040"/>
    <w:rsid w:val="00C913A4"/>
    <w:rsid w:val="00C92A5B"/>
    <w:rsid w:val="00C9532A"/>
    <w:rsid w:val="00C962F3"/>
    <w:rsid w:val="00C965A1"/>
    <w:rsid w:val="00C96BF2"/>
    <w:rsid w:val="00C978CD"/>
    <w:rsid w:val="00C97ACF"/>
    <w:rsid w:val="00C97D1F"/>
    <w:rsid w:val="00CA1141"/>
    <w:rsid w:val="00CA23D1"/>
    <w:rsid w:val="00CA2FEE"/>
    <w:rsid w:val="00CA3066"/>
    <w:rsid w:val="00CA4595"/>
    <w:rsid w:val="00CA6124"/>
    <w:rsid w:val="00CA6FA9"/>
    <w:rsid w:val="00CA73A0"/>
    <w:rsid w:val="00CB1508"/>
    <w:rsid w:val="00CB36FD"/>
    <w:rsid w:val="00CB5F18"/>
    <w:rsid w:val="00CB7B41"/>
    <w:rsid w:val="00CB7E26"/>
    <w:rsid w:val="00CC0C43"/>
    <w:rsid w:val="00CC16AA"/>
    <w:rsid w:val="00CC1F9E"/>
    <w:rsid w:val="00CC328C"/>
    <w:rsid w:val="00CC5688"/>
    <w:rsid w:val="00CC7929"/>
    <w:rsid w:val="00CD0544"/>
    <w:rsid w:val="00CD1265"/>
    <w:rsid w:val="00CD16DD"/>
    <w:rsid w:val="00CD1DEB"/>
    <w:rsid w:val="00CD2631"/>
    <w:rsid w:val="00CD3C87"/>
    <w:rsid w:val="00CD4DF4"/>
    <w:rsid w:val="00CD50D5"/>
    <w:rsid w:val="00CD5AC2"/>
    <w:rsid w:val="00CD7450"/>
    <w:rsid w:val="00CE289F"/>
    <w:rsid w:val="00CE2C51"/>
    <w:rsid w:val="00CE2D05"/>
    <w:rsid w:val="00CE3C47"/>
    <w:rsid w:val="00CE44F3"/>
    <w:rsid w:val="00CE4858"/>
    <w:rsid w:val="00CE5183"/>
    <w:rsid w:val="00CE53DB"/>
    <w:rsid w:val="00CE6791"/>
    <w:rsid w:val="00CE6AE8"/>
    <w:rsid w:val="00CE791F"/>
    <w:rsid w:val="00CE793F"/>
    <w:rsid w:val="00CE7F1E"/>
    <w:rsid w:val="00CF07A4"/>
    <w:rsid w:val="00CF083B"/>
    <w:rsid w:val="00CF0DC6"/>
    <w:rsid w:val="00CF154A"/>
    <w:rsid w:val="00CF1D90"/>
    <w:rsid w:val="00CF4564"/>
    <w:rsid w:val="00CF4C94"/>
    <w:rsid w:val="00CF5B73"/>
    <w:rsid w:val="00CF6FE3"/>
    <w:rsid w:val="00D043BB"/>
    <w:rsid w:val="00D04771"/>
    <w:rsid w:val="00D04C3A"/>
    <w:rsid w:val="00D07B60"/>
    <w:rsid w:val="00D1160A"/>
    <w:rsid w:val="00D142B3"/>
    <w:rsid w:val="00D14506"/>
    <w:rsid w:val="00D17BDE"/>
    <w:rsid w:val="00D17E82"/>
    <w:rsid w:val="00D20B74"/>
    <w:rsid w:val="00D21319"/>
    <w:rsid w:val="00D24743"/>
    <w:rsid w:val="00D24EEF"/>
    <w:rsid w:val="00D25D12"/>
    <w:rsid w:val="00D263E1"/>
    <w:rsid w:val="00D273C3"/>
    <w:rsid w:val="00D31725"/>
    <w:rsid w:val="00D31A58"/>
    <w:rsid w:val="00D31B11"/>
    <w:rsid w:val="00D32560"/>
    <w:rsid w:val="00D35DE2"/>
    <w:rsid w:val="00D3637A"/>
    <w:rsid w:val="00D36D29"/>
    <w:rsid w:val="00D41EA9"/>
    <w:rsid w:val="00D44AF1"/>
    <w:rsid w:val="00D46582"/>
    <w:rsid w:val="00D47535"/>
    <w:rsid w:val="00D524E1"/>
    <w:rsid w:val="00D561FC"/>
    <w:rsid w:val="00D608EC"/>
    <w:rsid w:val="00D61719"/>
    <w:rsid w:val="00D64523"/>
    <w:rsid w:val="00D65422"/>
    <w:rsid w:val="00D6600E"/>
    <w:rsid w:val="00D677CF"/>
    <w:rsid w:val="00D67B15"/>
    <w:rsid w:val="00D70E96"/>
    <w:rsid w:val="00D71E73"/>
    <w:rsid w:val="00D72161"/>
    <w:rsid w:val="00D74106"/>
    <w:rsid w:val="00D7427B"/>
    <w:rsid w:val="00D7463B"/>
    <w:rsid w:val="00D752C2"/>
    <w:rsid w:val="00D76D48"/>
    <w:rsid w:val="00D76FAE"/>
    <w:rsid w:val="00D770DA"/>
    <w:rsid w:val="00D77847"/>
    <w:rsid w:val="00D80575"/>
    <w:rsid w:val="00D80F9A"/>
    <w:rsid w:val="00D857F5"/>
    <w:rsid w:val="00D877E3"/>
    <w:rsid w:val="00D909DC"/>
    <w:rsid w:val="00D90BFC"/>
    <w:rsid w:val="00D92FF1"/>
    <w:rsid w:val="00D93420"/>
    <w:rsid w:val="00D9351D"/>
    <w:rsid w:val="00D95214"/>
    <w:rsid w:val="00DA01CC"/>
    <w:rsid w:val="00DA45F5"/>
    <w:rsid w:val="00DA53BE"/>
    <w:rsid w:val="00DA5726"/>
    <w:rsid w:val="00DB0797"/>
    <w:rsid w:val="00DB366C"/>
    <w:rsid w:val="00DB4AF1"/>
    <w:rsid w:val="00DB4CAC"/>
    <w:rsid w:val="00DB61C1"/>
    <w:rsid w:val="00DB651B"/>
    <w:rsid w:val="00DB7488"/>
    <w:rsid w:val="00DB748A"/>
    <w:rsid w:val="00DC06A8"/>
    <w:rsid w:val="00DC19FE"/>
    <w:rsid w:val="00DC4C86"/>
    <w:rsid w:val="00DC5995"/>
    <w:rsid w:val="00DC7AED"/>
    <w:rsid w:val="00DC7B6F"/>
    <w:rsid w:val="00DD081C"/>
    <w:rsid w:val="00DD1AC4"/>
    <w:rsid w:val="00DD1D29"/>
    <w:rsid w:val="00DD4690"/>
    <w:rsid w:val="00DD594E"/>
    <w:rsid w:val="00DD5FFD"/>
    <w:rsid w:val="00DE1F7B"/>
    <w:rsid w:val="00DE2053"/>
    <w:rsid w:val="00DE3AF5"/>
    <w:rsid w:val="00DE3B19"/>
    <w:rsid w:val="00DE3D36"/>
    <w:rsid w:val="00DE4839"/>
    <w:rsid w:val="00DE5006"/>
    <w:rsid w:val="00DE5BD9"/>
    <w:rsid w:val="00DE5C2B"/>
    <w:rsid w:val="00DE5D14"/>
    <w:rsid w:val="00DE5E5B"/>
    <w:rsid w:val="00DE640D"/>
    <w:rsid w:val="00DF03E4"/>
    <w:rsid w:val="00DF5DE4"/>
    <w:rsid w:val="00DF643F"/>
    <w:rsid w:val="00E037AB"/>
    <w:rsid w:val="00E05413"/>
    <w:rsid w:val="00E05521"/>
    <w:rsid w:val="00E059B9"/>
    <w:rsid w:val="00E10FB5"/>
    <w:rsid w:val="00E12F1A"/>
    <w:rsid w:val="00E14337"/>
    <w:rsid w:val="00E14754"/>
    <w:rsid w:val="00E148E3"/>
    <w:rsid w:val="00E15D56"/>
    <w:rsid w:val="00E2242D"/>
    <w:rsid w:val="00E22616"/>
    <w:rsid w:val="00E26328"/>
    <w:rsid w:val="00E26EA7"/>
    <w:rsid w:val="00E31EDC"/>
    <w:rsid w:val="00E3303B"/>
    <w:rsid w:val="00E33A76"/>
    <w:rsid w:val="00E351DA"/>
    <w:rsid w:val="00E3664B"/>
    <w:rsid w:val="00E377DF"/>
    <w:rsid w:val="00E37D37"/>
    <w:rsid w:val="00E4238E"/>
    <w:rsid w:val="00E43D8C"/>
    <w:rsid w:val="00E451F3"/>
    <w:rsid w:val="00E4535D"/>
    <w:rsid w:val="00E46286"/>
    <w:rsid w:val="00E47238"/>
    <w:rsid w:val="00E47D38"/>
    <w:rsid w:val="00E51F19"/>
    <w:rsid w:val="00E53A53"/>
    <w:rsid w:val="00E544C5"/>
    <w:rsid w:val="00E55388"/>
    <w:rsid w:val="00E56422"/>
    <w:rsid w:val="00E56BFC"/>
    <w:rsid w:val="00E57B6C"/>
    <w:rsid w:val="00E63502"/>
    <w:rsid w:val="00E64633"/>
    <w:rsid w:val="00E67ED6"/>
    <w:rsid w:val="00E67EEB"/>
    <w:rsid w:val="00E708C0"/>
    <w:rsid w:val="00E72AE6"/>
    <w:rsid w:val="00E73EAF"/>
    <w:rsid w:val="00E74DBB"/>
    <w:rsid w:val="00E75ED9"/>
    <w:rsid w:val="00E769DB"/>
    <w:rsid w:val="00E77506"/>
    <w:rsid w:val="00E80D30"/>
    <w:rsid w:val="00E82D0A"/>
    <w:rsid w:val="00E82F64"/>
    <w:rsid w:val="00E844CC"/>
    <w:rsid w:val="00E84693"/>
    <w:rsid w:val="00E84A0D"/>
    <w:rsid w:val="00E868CC"/>
    <w:rsid w:val="00E87251"/>
    <w:rsid w:val="00E955FE"/>
    <w:rsid w:val="00E95976"/>
    <w:rsid w:val="00E9790C"/>
    <w:rsid w:val="00E97D24"/>
    <w:rsid w:val="00EA07D8"/>
    <w:rsid w:val="00EA1EBE"/>
    <w:rsid w:val="00EA1F4F"/>
    <w:rsid w:val="00EA263A"/>
    <w:rsid w:val="00EA2D8C"/>
    <w:rsid w:val="00EA339F"/>
    <w:rsid w:val="00EA3A0E"/>
    <w:rsid w:val="00EA3B5F"/>
    <w:rsid w:val="00EA48F8"/>
    <w:rsid w:val="00EA5298"/>
    <w:rsid w:val="00EA6057"/>
    <w:rsid w:val="00EA7B1D"/>
    <w:rsid w:val="00EA7EDA"/>
    <w:rsid w:val="00EB0567"/>
    <w:rsid w:val="00EB179C"/>
    <w:rsid w:val="00EB34F3"/>
    <w:rsid w:val="00EB449E"/>
    <w:rsid w:val="00EB47F6"/>
    <w:rsid w:val="00EB570F"/>
    <w:rsid w:val="00EB6413"/>
    <w:rsid w:val="00EB6902"/>
    <w:rsid w:val="00EB7577"/>
    <w:rsid w:val="00EC259E"/>
    <w:rsid w:val="00EC2632"/>
    <w:rsid w:val="00EC2839"/>
    <w:rsid w:val="00EC2E3E"/>
    <w:rsid w:val="00EC4DCB"/>
    <w:rsid w:val="00ED0422"/>
    <w:rsid w:val="00ED07D5"/>
    <w:rsid w:val="00ED0814"/>
    <w:rsid w:val="00ED11A3"/>
    <w:rsid w:val="00ED1B6B"/>
    <w:rsid w:val="00ED2428"/>
    <w:rsid w:val="00ED3CF7"/>
    <w:rsid w:val="00ED46EC"/>
    <w:rsid w:val="00ED4BAE"/>
    <w:rsid w:val="00ED5F34"/>
    <w:rsid w:val="00ED726A"/>
    <w:rsid w:val="00ED738F"/>
    <w:rsid w:val="00EE073B"/>
    <w:rsid w:val="00EE1252"/>
    <w:rsid w:val="00EE3F1B"/>
    <w:rsid w:val="00EE5389"/>
    <w:rsid w:val="00EE7776"/>
    <w:rsid w:val="00EF1526"/>
    <w:rsid w:val="00EF1F1A"/>
    <w:rsid w:val="00EF3825"/>
    <w:rsid w:val="00EF4557"/>
    <w:rsid w:val="00F02FFC"/>
    <w:rsid w:val="00F048DD"/>
    <w:rsid w:val="00F05C63"/>
    <w:rsid w:val="00F076AD"/>
    <w:rsid w:val="00F116FE"/>
    <w:rsid w:val="00F11C9B"/>
    <w:rsid w:val="00F12A9C"/>
    <w:rsid w:val="00F13CB7"/>
    <w:rsid w:val="00F15408"/>
    <w:rsid w:val="00F17C5A"/>
    <w:rsid w:val="00F17E10"/>
    <w:rsid w:val="00F20D28"/>
    <w:rsid w:val="00F2221C"/>
    <w:rsid w:val="00F22DE2"/>
    <w:rsid w:val="00F23334"/>
    <w:rsid w:val="00F2358F"/>
    <w:rsid w:val="00F23BB1"/>
    <w:rsid w:val="00F24F50"/>
    <w:rsid w:val="00F35F87"/>
    <w:rsid w:val="00F41785"/>
    <w:rsid w:val="00F42181"/>
    <w:rsid w:val="00F4338F"/>
    <w:rsid w:val="00F44B9B"/>
    <w:rsid w:val="00F4659A"/>
    <w:rsid w:val="00F47420"/>
    <w:rsid w:val="00F47C07"/>
    <w:rsid w:val="00F5439E"/>
    <w:rsid w:val="00F60C12"/>
    <w:rsid w:val="00F614BA"/>
    <w:rsid w:val="00F630B6"/>
    <w:rsid w:val="00F640E7"/>
    <w:rsid w:val="00F66475"/>
    <w:rsid w:val="00F66CC5"/>
    <w:rsid w:val="00F6715A"/>
    <w:rsid w:val="00F70F0C"/>
    <w:rsid w:val="00F7314E"/>
    <w:rsid w:val="00F740BA"/>
    <w:rsid w:val="00F74B14"/>
    <w:rsid w:val="00F77AA1"/>
    <w:rsid w:val="00F80B62"/>
    <w:rsid w:val="00F817AD"/>
    <w:rsid w:val="00F82E10"/>
    <w:rsid w:val="00F8440A"/>
    <w:rsid w:val="00F914C6"/>
    <w:rsid w:val="00F92E4B"/>
    <w:rsid w:val="00F9386A"/>
    <w:rsid w:val="00F93C0C"/>
    <w:rsid w:val="00F95C9A"/>
    <w:rsid w:val="00FA0E33"/>
    <w:rsid w:val="00FA392D"/>
    <w:rsid w:val="00FA6904"/>
    <w:rsid w:val="00FA7E1B"/>
    <w:rsid w:val="00FB0FE6"/>
    <w:rsid w:val="00FB23F4"/>
    <w:rsid w:val="00FB2E87"/>
    <w:rsid w:val="00FB3746"/>
    <w:rsid w:val="00FB41ED"/>
    <w:rsid w:val="00FB4DDD"/>
    <w:rsid w:val="00FB523F"/>
    <w:rsid w:val="00FB75C4"/>
    <w:rsid w:val="00FC1201"/>
    <w:rsid w:val="00FC56B6"/>
    <w:rsid w:val="00FC5B93"/>
    <w:rsid w:val="00FC5D96"/>
    <w:rsid w:val="00FC6385"/>
    <w:rsid w:val="00FD0FE2"/>
    <w:rsid w:val="00FD39C6"/>
    <w:rsid w:val="00FD5E37"/>
    <w:rsid w:val="00FE13A7"/>
    <w:rsid w:val="00FE17F9"/>
    <w:rsid w:val="00FE45D5"/>
    <w:rsid w:val="00FE50B7"/>
    <w:rsid w:val="00FE7A05"/>
    <w:rsid w:val="00FF16FC"/>
    <w:rsid w:val="00FF241E"/>
    <w:rsid w:val="00FF57F7"/>
    <w:rsid w:val="00FF5D02"/>
    <w:rsid w:val="0148451E"/>
    <w:rsid w:val="01AD75B9"/>
    <w:rsid w:val="01C87FF3"/>
    <w:rsid w:val="02583D8D"/>
    <w:rsid w:val="0320E0F1"/>
    <w:rsid w:val="033B342E"/>
    <w:rsid w:val="0342746F"/>
    <w:rsid w:val="03667911"/>
    <w:rsid w:val="041ECDCB"/>
    <w:rsid w:val="0553DC18"/>
    <w:rsid w:val="05A499D4"/>
    <w:rsid w:val="05F46B8D"/>
    <w:rsid w:val="06EA73C7"/>
    <w:rsid w:val="06F1D2E3"/>
    <w:rsid w:val="0703BEBF"/>
    <w:rsid w:val="071C40F3"/>
    <w:rsid w:val="083E1535"/>
    <w:rsid w:val="085AF312"/>
    <w:rsid w:val="09521ECB"/>
    <w:rsid w:val="09E7CB77"/>
    <w:rsid w:val="09FE288C"/>
    <w:rsid w:val="0A5275ED"/>
    <w:rsid w:val="0A5C1C6D"/>
    <w:rsid w:val="0B0F5045"/>
    <w:rsid w:val="0B9F78EA"/>
    <w:rsid w:val="0BE5F776"/>
    <w:rsid w:val="0BFE2D06"/>
    <w:rsid w:val="0C2C78F6"/>
    <w:rsid w:val="0C2EF3EF"/>
    <w:rsid w:val="0C4298C3"/>
    <w:rsid w:val="0C8E5FE7"/>
    <w:rsid w:val="0CC11E90"/>
    <w:rsid w:val="0CCB7748"/>
    <w:rsid w:val="0CCF11FD"/>
    <w:rsid w:val="0CDE4A32"/>
    <w:rsid w:val="0D15B0DA"/>
    <w:rsid w:val="0DB6A7EB"/>
    <w:rsid w:val="0E324E57"/>
    <w:rsid w:val="0E5BDDCF"/>
    <w:rsid w:val="0F03FE7A"/>
    <w:rsid w:val="0F3CBC71"/>
    <w:rsid w:val="0F5F5BA5"/>
    <w:rsid w:val="0F6D3F5E"/>
    <w:rsid w:val="104F7789"/>
    <w:rsid w:val="107EF8E6"/>
    <w:rsid w:val="116863E0"/>
    <w:rsid w:val="11AB406F"/>
    <w:rsid w:val="11B8E18F"/>
    <w:rsid w:val="122002E0"/>
    <w:rsid w:val="122EBBFF"/>
    <w:rsid w:val="14288DC3"/>
    <w:rsid w:val="1440A4AC"/>
    <w:rsid w:val="1440C176"/>
    <w:rsid w:val="14577266"/>
    <w:rsid w:val="148EA0E2"/>
    <w:rsid w:val="14D52389"/>
    <w:rsid w:val="15627989"/>
    <w:rsid w:val="15662C30"/>
    <w:rsid w:val="15C70EFA"/>
    <w:rsid w:val="1711A1FF"/>
    <w:rsid w:val="17B40688"/>
    <w:rsid w:val="17B57473"/>
    <w:rsid w:val="195A1138"/>
    <w:rsid w:val="1B0F49B4"/>
    <w:rsid w:val="1B58A05B"/>
    <w:rsid w:val="1BF33296"/>
    <w:rsid w:val="1C39C7FB"/>
    <w:rsid w:val="1C6F7436"/>
    <w:rsid w:val="1CFB194B"/>
    <w:rsid w:val="1F03A7E4"/>
    <w:rsid w:val="20313F6A"/>
    <w:rsid w:val="203FF238"/>
    <w:rsid w:val="204B40CD"/>
    <w:rsid w:val="20A0D451"/>
    <w:rsid w:val="21C1B0CB"/>
    <w:rsid w:val="2343DBCB"/>
    <w:rsid w:val="23734F8A"/>
    <w:rsid w:val="2404C82D"/>
    <w:rsid w:val="25557F6B"/>
    <w:rsid w:val="259C1C15"/>
    <w:rsid w:val="262EF751"/>
    <w:rsid w:val="26802A6B"/>
    <w:rsid w:val="26C88CB1"/>
    <w:rsid w:val="26CAED59"/>
    <w:rsid w:val="26F15BE1"/>
    <w:rsid w:val="276B151F"/>
    <w:rsid w:val="278CBB2C"/>
    <w:rsid w:val="27FC5FE0"/>
    <w:rsid w:val="281A0A9E"/>
    <w:rsid w:val="285DE84D"/>
    <w:rsid w:val="287316AA"/>
    <w:rsid w:val="28795A2E"/>
    <w:rsid w:val="28B135E6"/>
    <w:rsid w:val="28DD1E88"/>
    <w:rsid w:val="291C87B1"/>
    <w:rsid w:val="2923D550"/>
    <w:rsid w:val="29909CAD"/>
    <w:rsid w:val="29E784A1"/>
    <w:rsid w:val="2A4B7935"/>
    <w:rsid w:val="2A538E53"/>
    <w:rsid w:val="2AAB509C"/>
    <w:rsid w:val="2ADD46F1"/>
    <w:rsid w:val="2C28482B"/>
    <w:rsid w:val="2DF58774"/>
    <w:rsid w:val="2F63F0FF"/>
    <w:rsid w:val="2FF178E3"/>
    <w:rsid w:val="3007F3A6"/>
    <w:rsid w:val="3054BCB3"/>
    <w:rsid w:val="307AE7EE"/>
    <w:rsid w:val="30ADFE30"/>
    <w:rsid w:val="30B71229"/>
    <w:rsid w:val="311555D8"/>
    <w:rsid w:val="312909A9"/>
    <w:rsid w:val="313EAFFD"/>
    <w:rsid w:val="318A7661"/>
    <w:rsid w:val="31BFD8A6"/>
    <w:rsid w:val="321DE16A"/>
    <w:rsid w:val="32AA8CC9"/>
    <w:rsid w:val="3374F98C"/>
    <w:rsid w:val="3545AEFC"/>
    <w:rsid w:val="35CA1997"/>
    <w:rsid w:val="361CC3F8"/>
    <w:rsid w:val="362C7FA8"/>
    <w:rsid w:val="3693392A"/>
    <w:rsid w:val="36B6FBE4"/>
    <w:rsid w:val="36C20BC7"/>
    <w:rsid w:val="37AC476D"/>
    <w:rsid w:val="37E300C0"/>
    <w:rsid w:val="37ED6425"/>
    <w:rsid w:val="3930AB27"/>
    <w:rsid w:val="39B8D8A4"/>
    <w:rsid w:val="3A233F24"/>
    <w:rsid w:val="3A250BC8"/>
    <w:rsid w:val="3A2D9D50"/>
    <w:rsid w:val="3ADA6D67"/>
    <w:rsid w:val="3C321EDD"/>
    <w:rsid w:val="3C88CD2C"/>
    <w:rsid w:val="3C896DCE"/>
    <w:rsid w:val="3D27522F"/>
    <w:rsid w:val="3D48A71F"/>
    <w:rsid w:val="3DE060BC"/>
    <w:rsid w:val="3E04D645"/>
    <w:rsid w:val="3F2DA6A0"/>
    <w:rsid w:val="405FE7C8"/>
    <w:rsid w:val="40A9C6FB"/>
    <w:rsid w:val="4312E00B"/>
    <w:rsid w:val="434C31D8"/>
    <w:rsid w:val="43843D67"/>
    <w:rsid w:val="44A4B776"/>
    <w:rsid w:val="44D92F20"/>
    <w:rsid w:val="4531B48C"/>
    <w:rsid w:val="456E3AC9"/>
    <w:rsid w:val="466E09C9"/>
    <w:rsid w:val="46A174BD"/>
    <w:rsid w:val="4742BA5D"/>
    <w:rsid w:val="4760D0B2"/>
    <w:rsid w:val="47D70CF7"/>
    <w:rsid w:val="4866ACD3"/>
    <w:rsid w:val="499C565F"/>
    <w:rsid w:val="49E55650"/>
    <w:rsid w:val="4AB18D99"/>
    <w:rsid w:val="4AECF9A3"/>
    <w:rsid w:val="4B32DBD4"/>
    <w:rsid w:val="4C64F3E3"/>
    <w:rsid w:val="4C88799E"/>
    <w:rsid w:val="4D6AC012"/>
    <w:rsid w:val="4DC2238A"/>
    <w:rsid w:val="4E4F6BCF"/>
    <w:rsid w:val="4F6B56D0"/>
    <w:rsid w:val="50DD4202"/>
    <w:rsid w:val="51CC0CDA"/>
    <w:rsid w:val="51DE33CC"/>
    <w:rsid w:val="531BD3D6"/>
    <w:rsid w:val="53780612"/>
    <w:rsid w:val="54196F6E"/>
    <w:rsid w:val="5500BA31"/>
    <w:rsid w:val="55751C74"/>
    <w:rsid w:val="559CBFE8"/>
    <w:rsid w:val="55A5AC73"/>
    <w:rsid w:val="5682BFA0"/>
    <w:rsid w:val="57535D81"/>
    <w:rsid w:val="58AD1B55"/>
    <w:rsid w:val="58BCD844"/>
    <w:rsid w:val="58DB6AB1"/>
    <w:rsid w:val="59AF7C26"/>
    <w:rsid w:val="59F83233"/>
    <w:rsid w:val="5A36D72A"/>
    <w:rsid w:val="5A46CCA3"/>
    <w:rsid w:val="5A9C4D42"/>
    <w:rsid w:val="5AF8FFCF"/>
    <w:rsid w:val="5B4580C6"/>
    <w:rsid w:val="5C110A53"/>
    <w:rsid w:val="5C66822D"/>
    <w:rsid w:val="5C92885C"/>
    <w:rsid w:val="5C9EF8EF"/>
    <w:rsid w:val="5CE5DF44"/>
    <w:rsid w:val="5E978F52"/>
    <w:rsid w:val="5EE64FE3"/>
    <w:rsid w:val="5FEE842D"/>
    <w:rsid w:val="605C293F"/>
    <w:rsid w:val="605FFC26"/>
    <w:rsid w:val="6092B035"/>
    <w:rsid w:val="60A4C8DF"/>
    <w:rsid w:val="610827E4"/>
    <w:rsid w:val="61926466"/>
    <w:rsid w:val="628AD1AE"/>
    <w:rsid w:val="62C53915"/>
    <w:rsid w:val="62F1E0C8"/>
    <w:rsid w:val="632CAB63"/>
    <w:rsid w:val="63326C79"/>
    <w:rsid w:val="639369E3"/>
    <w:rsid w:val="63B97FDF"/>
    <w:rsid w:val="63D20D2E"/>
    <w:rsid w:val="649583C5"/>
    <w:rsid w:val="64B92799"/>
    <w:rsid w:val="65427A6D"/>
    <w:rsid w:val="65740CA2"/>
    <w:rsid w:val="6577792B"/>
    <w:rsid w:val="65E2A2C3"/>
    <w:rsid w:val="67241924"/>
    <w:rsid w:val="678709DE"/>
    <w:rsid w:val="695651A6"/>
    <w:rsid w:val="69B6C069"/>
    <w:rsid w:val="69E8194A"/>
    <w:rsid w:val="6B43FCB3"/>
    <w:rsid w:val="6C885641"/>
    <w:rsid w:val="6D3FCB03"/>
    <w:rsid w:val="6D4D9D92"/>
    <w:rsid w:val="6D7DF637"/>
    <w:rsid w:val="6F028B7A"/>
    <w:rsid w:val="6F3B47D3"/>
    <w:rsid w:val="6F8799DE"/>
    <w:rsid w:val="6FEF0208"/>
    <w:rsid w:val="6FFAC2BF"/>
    <w:rsid w:val="70CF182F"/>
    <w:rsid w:val="7165C6BE"/>
    <w:rsid w:val="71B0F345"/>
    <w:rsid w:val="72313C25"/>
    <w:rsid w:val="7286D5D8"/>
    <w:rsid w:val="731D498C"/>
    <w:rsid w:val="73CC3B6E"/>
    <w:rsid w:val="752633B1"/>
    <w:rsid w:val="757CF942"/>
    <w:rsid w:val="765F3B45"/>
    <w:rsid w:val="771F7D4D"/>
    <w:rsid w:val="7798D0CA"/>
    <w:rsid w:val="77E93233"/>
    <w:rsid w:val="78012C8B"/>
    <w:rsid w:val="7837EAAC"/>
    <w:rsid w:val="7886AE4C"/>
    <w:rsid w:val="78F9E380"/>
    <w:rsid w:val="79D79F72"/>
    <w:rsid w:val="7A527376"/>
    <w:rsid w:val="7AAE35F0"/>
    <w:rsid w:val="7B11AE46"/>
    <w:rsid w:val="7B197FC3"/>
    <w:rsid w:val="7C0F59F2"/>
    <w:rsid w:val="7C18B8C1"/>
    <w:rsid w:val="7CA3B35E"/>
    <w:rsid w:val="7D3D766A"/>
    <w:rsid w:val="7D606C95"/>
    <w:rsid w:val="7D8A13DD"/>
    <w:rsid w:val="7DE76948"/>
    <w:rsid w:val="7DF75967"/>
    <w:rsid w:val="7ECF2A1B"/>
    <w:rsid w:val="7F27C9AC"/>
    <w:rsid w:val="7FF5909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3D46ABB2"/>
  <w15:chartTrackingRefBased/>
  <w15:docId w15:val="{8387EC92-FE1B-4F1F-B062-CA4257947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1CD"/>
    <w:pPr>
      <w:spacing w:before="120" w:after="120" w:line="360" w:lineRule="auto"/>
    </w:pPr>
    <w:rPr>
      <w:rFonts w:ascii="Arial" w:hAnsi="Arial"/>
      <w:sz w:val="24"/>
      <w:szCs w:val="24"/>
      <w:lang w:eastAsia="en-US"/>
    </w:rPr>
  </w:style>
  <w:style w:type="paragraph" w:styleId="Heading1">
    <w:name w:val="heading 1"/>
    <w:aliases w:val="Heading 11,Centre"/>
    <w:basedOn w:val="Normal"/>
    <w:next w:val="Normal"/>
    <w:link w:val="Heading1Char"/>
    <w:autoRedefine/>
    <w:qFormat/>
    <w:rsid w:val="000E0C77"/>
    <w:pPr>
      <w:keepNext/>
      <w:numPr>
        <w:numId w:val="11"/>
      </w:numPr>
      <w:spacing w:before="240" w:after="60"/>
      <w:outlineLvl w:val="0"/>
    </w:pPr>
    <w:rPr>
      <w:b/>
      <w:bCs/>
      <w:color w:val="006726"/>
      <w:kern w:val="32"/>
      <w:sz w:val="40"/>
      <w:szCs w:val="32"/>
    </w:rPr>
  </w:style>
  <w:style w:type="paragraph" w:styleId="Heading2">
    <w:name w:val="heading 2"/>
    <w:aliases w:val="Heading 21,2/1,2"/>
    <w:basedOn w:val="Normal"/>
    <w:next w:val="Normal"/>
    <w:link w:val="Heading2Char"/>
    <w:qFormat/>
    <w:rsid w:val="00C01596"/>
    <w:pPr>
      <w:keepNext/>
      <w:numPr>
        <w:ilvl w:val="1"/>
        <w:numId w:val="10"/>
      </w:numPr>
      <w:spacing w:before="240" w:after="240"/>
      <w:outlineLvl w:val="1"/>
    </w:pPr>
    <w:rPr>
      <w:rFonts w:cs="Arial"/>
      <w:b/>
      <w:bCs/>
      <w:iCs/>
      <w:color w:val="006726"/>
      <w:sz w:val="32"/>
      <w:szCs w:val="28"/>
    </w:rPr>
  </w:style>
  <w:style w:type="paragraph" w:styleId="Heading3">
    <w:name w:val="heading 3"/>
    <w:basedOn w:val="Normal"/>
    <w:next w:val="Normal"/>
    <w:link w:val="Heading3Char"/>
    <w:qFormat/>
    <w:rsid w:val="00C01596"/>
    <w:pPr>
      <w:keepNext/>
      <w:numPr>
        <w:ilvl w:val="2"/>
        <w:numId w:val="10"/>
      </w:numPr>
      <w:tabs>
        <w:tab w:val="left" w:pos="1134"/>
      </w:tabs>
      <w:spacing w:before="240" w:after="240"/>
      <w:outlineLvl w:val="2"/>
    </w:pPr>
    <w:rPr>
      <w:rFonts w:cs="Arial"/>
      <w:b/>
      <w:bCs/>
      <w:color w:val="006726"/>
      <w:szCs w:val="26"/>
    </w:rPr>
  </w:style>
  <w:style w:type="paragraph" w:styleId="Heading4">
    <w:name w:val="heading 4"/>
    <w:basedOn w:val="Normal"/>
    <w:next w:val="Normal"/>
    <w:autoRedefine/>
    <w:qFormat/>
    <w:pPr>
      <w:keepNext/>
      <w:spacing w:before="240" w:after="240"/>
      <w:outlineLvl w:val="3"/>
    </w:pPr>
    <w:rPr>
      <w:b/>
      <w:bCs/>
    </w:rPr>
  </w:style>
  <w:style w:type="paragraph" w:styleId="Heading5">
    <w:name w:val="heading 5"/>
    <w:basedOn w:val="Normal"/>
    <w:next w:val="Normal"/>
    <w:qFormat/>
    <w:pPr>
      <w:outlineLvl w:val="4"/>
    </w:pPr>
    <w:rPr>
      <w:b/>
      <w:bCs/>
      <w:iCs/>
      <w:szCs w:val="26"/>
    </w:rPr>
  </w:style>
  <w:style w:type="paragraph" w:styleId="Heading6">
    <w:name w:val="heading 6"/>
    <w:basedOn w:val="Normal"/>
    <w:next w:val="Normal"/>
    <w:qFormat/>
    <w:pPr>
      <w:outlineLvl w:val="5"/>
    </w:pPr>
    <w:rPr>
      <w:b/>
      <w:bCs/>
      <w:szCs w:val="22"/>
    </w:rPr>
  </w:style>
  <w:style w:type="paragraph" w:styleId="Heading7">
    <w:name w:val="heading 7"/>
    <w:basedOn w:val="Normal"/>
    <w:next w:val="Normal"/>
    <w:qFormat/>
    <w:pPr>
      <w:outlineLvl w:val="6"/>
    </w:pPr>
    <w:rPr>
      <w:b/>
    </w:rPr>
  </w:style>
  <w:style w:type="paragraph" w:styleId="Heading8">
    <w:name w:val="heading 8"/>
    <w:basedOn w:val="Normal"/>
    <w:next w:val="Normal"/>
    <w:qFormat/>
    <w:pPr>
      <w:spacing w:before="240" w:after="60"/>
      <w:outlineLvl w:val="7"/>
    </w:pPr>
    <w:rPr>
      <w:b/>
      <w:iCs/>
    </w:rPr>
  </w:style>
  <w:style w:type="paragraph" w:styleId="Heading9">
    <w:name w:val="heading 9"/>
    <w:basedOn w:val="Normal"/>
    <w:next w:val="Normal"/>
    <w:qFormat/>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pPr>
      <w:tabs>
        <w:tab w:val="right" w:pos="9072"/>
      </w:tabs>
    </w:pPr>
  </w:style>
  <w:style w:type="paragraph" w:styleId="BodyText">
    <w:name w:val="Body Text"/>
    <w:aliases w:val="Bullet Point List Text"/>
    <w:basedOn w:val="Normal"/>
    <w:uiPriority w:val="1"/>
    <w:qFormat/>
  </w:style>
  <w:style w:type="paragraph" w:styleId="TOC1">
    <w:name w:val="toc 1"/>
    <w:basedOn w:val="Normal"/>
    <w:next w:val="Normal"/>
    <w:uiPriority w:val="39"/>
    <w:rsid w:val="005E6483"/>
    <w:pPr>
      <w:ind w:right="567"/>
    </w:pPr>
    <w:rPr>
      <w:b/>
      <w:color w:val="006726"/>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rsid w:val="00ED11A3"/>
    <w:pPr>
      <w:ind w:left="284" w:right="567"/>
    </w:pPr>
    <w:rPr>
      <w:sz w:val="22"/>
    </w:rPr>
  </w:style>
  <w:style w:type="paragraph" w:styleId="TOC3">
    <w:name w:val="toc 3"/>
    <w:basedOn w:val="Normal"/>
    <w:next w:val="Normal"/>
    <w:uiPriority w:val="39"/>
    <w:rsid w:val="00CA2FEE"/>
    <w:pPr>
      <w:ind w:left="567" w:right="567"/>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Hyperlink">
    <w:name w:val="Hyperlink"/>
    <w:uiPriority w:val="99"/>
    <w:rPr>
      <w:color w:val="0000FF"/>
      <w:u w:val="single"/>
    </w:rPr>
  </w:style>
  <w:style w:type="paragraph" w:styleId="Caption">
    <w:name w:val="caption"/>
    <w:aliases w:val="Table/Figure Heading,Table Number#,Table Number# + Bold,Top: (Single solid line,Custom Color(RGB(0,91,.....,Caption Char Char Char,Caption Char Char Char Char Char Char,Caption1,Caption Char Char Char1 Char,Caption2,Table title,Map,Table Heading"/>
    <w:basedOn w:val="Normal"/>
    <w:next w:val="Normal"/>
    <w:link w:val="CaptionChar"/>
    <w:uiPriority w:val="35"/>
    <w:qFormat/>
    <w:rsid w:val="00494B4A"/>
    <w:pPr>
      <w:keepNext/>
      <w:tabs>
        <w:tab w:val="left" w:pos="1134"/>
      </w:tabs>
      <w:spacing w:before="240"/>
    </w:pPr>
    <w:rPr>
      <w:b/>
      <w:bCs/>
      <w:color w:val="006726"/>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Cs w:val="20"/>
    </w:rPr>
  </w:style>
  <w:style w:type="paragraph" w:customStyle="1" w:styleId="Bulletedtext">
    <w:name w:val="Bulleted text"/>
    <w:basedOn w:val="Normal"/>
    <w:pPr>
      <w:numPr>
        <w:numId w:val="1"/>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428E"/>
    <w:pPr>
      <w:tabs>
        <w:tab w:val="right" w:leader="dot" w:pos="9072"/>
      </w:tabs>
      <w:ind w:left="1134" w:hanging="1134"/>
    </w:pPr>
    <w:rPr>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2"/>
      </w:numPr>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Cs w:val="20"/>
      <w:u w:val="single"/>
    </w:rPr>
  </w:style>
  <w:style w:type="paragraph" w:customStyle="1" w:styleId="TableNormal0">
    <w:name w:val="TableNormal"/>
    <w:basedOn w:val="Normal"/>
    <w:rPr>
      <w:rFonts w:ascii="Times New Roman" w:hAnsi="Times New Roman"/>
      <w:szCs w:val="20"/>
    </w:rPr>
  </w:style>
  <w:style w:type="paragraph" w:styleId="BalloonText">
    <w:name w:val="Balloon Text"/>
    <w:basedOn w:val="Normal"/>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BF280B"/>
  </w:style>
  <w:style w:type="paragraph" w:customStyle="1" w:styleId="DefaultParagraphFontParaChar">
    <w:name w:val="Default Paragraph Font Para Char"/>
    <w:basedOn w:val="Normal"/>
    <w:autoRedefine/>
    <w:pPr>
      <w:tabs>
        <w:tab w:val="left" w:pos="1134"/>
      </w:tabs>
      <w:jc w:val="both"/>
    </w:pPr>
    <w:rPr>
      <w:rFonts w:ascii="Times New Roman" w:hAnsi="Times New Roman"/>
      <w:noProof/>
      <w:color w:val="000000"/>
      <w:szCs w:val="20"/>
      <w:lang w:eastAsia="en-GB"/>
    </w:rPr>
  </w:style>
  <w:style w:type="table" w:styleId="TableGrid">
    <w:name w:val="Table Grid"/>
    <w:basedOn w:val="TableNormal"/>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BF280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3"/>
      </w:numPr>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character" w:customStyle="1" w:styleId="FootnoteTextChar">
    <w:name w:val="Footnote Text Char"/>
    <w:aliases w:val="RSK-FT Char,RSK-FT1 Char,RSK-FT2 Char"/>
    <w:link w:val="FootnoteText"/>
    <w:uiPriority w:val="99"/>
    <w:rsid w:val="00CC1F9E"/>
    <w:rPr>
      <w:rFonts w:ascii="Arial" w:hAnsi="Arial"/>
      <w:sz w:val="14"/>
      <w:lang w:eastAsia="en-US"/>
    </w:rPr>
  </w:style>
  <w:style w:type="paragraph" w:customStyle="1" w:styleId="2digitnumnormal">
    <w:name w:val="2 digit num normal"/>
    <w:basedOn w:val="Normal"/>
    <w:link w:val="2digitnumnormalChar"/>
    <w:qFormat/>
    <w:rsid w:val="00CC1F9E"/>
    <w:pPr>
      <w:suppressAutoHyphens/>
      <w:spacing w:after="160" w:line="247" w:lineRule="auto"/>
      <w:ind w:left="720" w:hanging="720"/>
      <w:jc w:val="both"/>
      <w:outlineLvl w:val="2"/>
    </w:pPr>
    <w:rPr>
      <w:rFonts w:ascii="Times New Roman" w:hAnsi="Times New Roman"/>
      <w:sz w:val="22"/>
      <w:szCs w:val="20"/>
    </w:rPr>
  </w:style>
  <w:style w:type="character" w:customStyle="1" w:styleId="2digitnumnormalChar">
    <w:name w:val="2 digit num normal Char"/>
    <w:link w:val="2digitnumnormal"/>
    <w:rsid w:val="00CC1F9E"/>
    <w:rPr>
      <w:sz w:val="22"/>
      <w:lang w:eastAsia="en-US"/>
    </w:rPr>
  </w:style>
  <w:style w:type="paragraph" w:customStyle="1" w:styleId="Subheading2">
    <w:name w:val="Sub heading 2"/>
    <w:basedOn w:val="Normal"/>
    <w:link w:val="Subheading2Char"/>
    <w:qFormat/>
    <w:rsid w:val="00C90040"/>
    <w:pPr>
      <w:suppressAutoHyphens/>
      <w:jc w:val="both"/>
    </w:pPr>
    <w:rPr>
      <w:rFonts w:ascii="Calibri" w:eastAsia="Calibri" w:hAnsi="Calibri" w:cs="Arial Narrow"/>
      <w:i/>
      <w:sz w:val="22"/>
      <w:szCs w:val="22"/>
    </w:rPr>
  </w:style>
  <w:style w:type="character" w:customStyle="1" w:styleId="Subheading2Char">
    <w:name w:val="Sub heading 2 Char"/>
    <w:link w:val="Subheading2"/>
    <w:rsid w:val="00C90040"/>
    <w:rPr>
      <w:rFonts w:ascii="Calibri" w:eastAsia="Calibri" w:hAnsi="Calibri" w:cs="Arial Narrow"/>
      <w:i/>
      <w:sz w:val="22"/>
      <w:szCs w:val="22"/>
      <w:lang w:eastAsia="en-US"/>
    </w:rPr>
  </w:style>
  <w:style w:type="character" w:styleId="PlaceholderText">
    <w:name w:val="Placeholder Text"/>
    <w:uiPriority w:val="99"/>
    <w:semiHidden/>
    <w:rsid w:val="005066E4"/>
    <w:rPr>
      <w:color w:val="808080"/>
    </w:rPr>
  </w:style>
  <w:style w:type="character" w:customStyle="1" w:styleId="Heading1Char">
    <w:name w:val="Heading 1 Char"/>
    <w:aliases w:val="Heading 11 Char,Centre Char"/>
    <w:link w:val="Heading1"/>
    <w:rsid w:val="000E0C77"/>
    <w:rPr>
      <w:rFonts w:ascii="Arial" w:hAnsi="Arial"/>
      <w:b/>
      <w:bCs/>
      <w:color w:val="006726"/>
      <w:kern w:val="32"/>
      <w:sz w:val="40"/>
      <w:szCs w:val="32"/>
      <w:lang w:eastAsia="en-US"/>
    </w:rPr>
  </w:style>
  <w:style w:type="paragraph" w:customStyle="1" w:styleId="PubTitle">
    <w:name w:val="Pub Title"/>
    <w:basedOn w:val="Default"/>
    <w:next w:val="Default"/>
    <w:uiPriority w:val="99"/>
    <w:rsid w:val="00057772"/>
    <w:rPr>
      <w:color w:val="auto"/>
      <w:lang w:val="en-GB" w:eastAsia="en-GB"/>
    </w:rPr>
  </w:style>
  <w:style w:type="table" w:customStyle="1" w:styleId="TableStyle4">
    <w:name w:val="Table Style 4"/>
    <w:basedOn w:val="TableNormal"/>
    <w:uiPriority w:val="99"/>
    <w:qFormat/>
    <w:rsid w:val="009501D3"/>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sz w:val="28"/>
        <w:u w:val="none" w:color="FFFFFF"/>
      </w:rPr>
      <w:tblPr/>
      <w:tcPr>
        <w:shd w:val="clear" w:color="auto" w:fill="008938"/>
      </w:tcPr>
    </w:tblStylePr>
    <w:tblStylePr w:type="firstCol">
      <w:rPr>
        <w:b w:val="0"/>
        <w:i w:val="0"/>
      </w:rPr>
    </w:tblStylePr>
  </w:style>
  <w:style w:type="paragraph" w:customStyle="1" w:styleId="Contents">
    <w:name w:val="Contents"/>
    <w:basedOn w:val="Normal"/>
    <w:next w:val="Normal"/>
    <w:qFormat/>
    <w:rsid w:val="00C01596"/>
    <w:rPr>
      <w:b/>
      <w:color w:val="006726"/>
      <w:sz w:val="28"/>
    </w:rPr>
  </w:style>
  <w:style w:type="paragraph" w:styleId="TOCHeading">
    <w:name w:val="TOC Heading"/>
    <w:basedOn w:val="Heading1"/>
    <w:next w:val="Normal"/>
    <w:uiPriority w:val="39"/>
    <w:unhideWhenUsed/>
    <w:qFormat/>
    <w:rsid w:val="00CE2D05"/>
    <w:pPr>
      <w:keepLines/>
      <w:spacing w:after="0" w:line="259" w:lineRule="auto"/>
      <w:outlineLvl w:val="9"/>
    </w:pPr>
    <w:rPr>
      <w:rFonts w:ascii="Calibri Light" w:hAnsi="Calibri Light"/>
      <w:b w:val="0"/>
      <w:bCs w:val="0"/>
      <w:color w:val="2F5496"/>
      <w:kern w:val="0"/>
      <w:sz w:val="32"/>
      <w:lang w:val="en-US"/>
    </w:rPr>
  </w:style>
  <w:style w:type="character" w:styleId="UnresolvedMention">
    <w:name w:val="Unresolved Mention"/>
    <w:basedOn w:val="DefaultParagraphFont"/>
    <w:uiPriority w:val="99"/>
    <w:unhideWhenUsed/>
    <w:rsid w:val="00397124"/>
    <w:rPr>
      <w:color w:val="605E5C"/>
      <w:shd w:val="clear" w:color="auto" w:fill="E1DFDD"/>
    </w:rPr>
  </w:style>
  <w:style w:type="table" w:customStyle="1" w:styleId="LAQMReporting">
    <w:name w:val="LAQM Reporting"/>
    <w:basedOn w:val="TableStyle4"/>
    <w:uiPriority w:val="99"/>
    <w:rsid w:val="00C01596"/>
    <w:tblPr/>
    <w:tcPr>
      <w:shd w:val="clear" w:color="auto" w:fill="auto"/>
    </w:tcPr>
    <w:tblStylePr w:type="firstRow">
      <w:rPr>
        <w:rFonts w:ascii="Arial Bold" w:hAnsi="Arial Bold"/>
        <w:b/>
        <w:color w:val="FFFFFF"/>
        <w:sz w:val="28"/>
        <w:u w:val="none" w:color="FFFFFF"/>
      </w:rPr>
      <w:tblPr/>
      <w:tcPr>
        <w:shd w:val="clear" w:color="auto" w:fill="006726"/>
      </w:tcPr>
    </w:tblStylePr>
    <w:tblStylePr w:type="firstCol">
      <w:rPr>
        <w:b w:val="0"/>
        <w:i w:val="0"/>
      </w:rPr>
    </w:tblStylePr>
  </w:style>
  <w:style w:type="paragraph" w:customStyle="1" w:styleId="appendix">
    <w:name w:val="appendix"/>
    <w:basedOn w:val="Heading1"/>
    <w:qFormat/>
    <w:rsid w:val="005D206E"/>
  </w:style>
  <w:style w:type="character" w:customStyle="1" w:styleId="normaltextrun">
    <w:name w:val="normaltextrun"/>
    <w:basedOn w:val="DefaultParagraphFont"/>
    <w:rsid w:val="00AE69C2"/>
  </w:style>
  <w:style w:type="character" w:customStyle="1" w:styleId="eop">
    <w:name w:val="eop"/>
    <w:basedOn w:val="DefaultParagraphFont"/>
    <w:rsid w:val="00AE69C2"/>
  </w:style>
  <w:style w:type="paragraph" w:customStyle="1" w:styleId="paragraph">
    <w:name w:val="paragraph"/>
    <w:basedOn w:val="Normal"/>
    <w:rsid w:val="00AE69C2"/>
    <w:pPr>
      <w:spacing w:before="100" w:beforeAutospacing="1" w:after="100" w:afterAutospacing="1" w:line="240" w:lineRule="auto"/>
    </w:pPr>
    <w:rPr>
      <w:rFonts w:ascii="Times New Roman" w:hAnsi="Times New Roman"/>
      <w:lang w:eastAsia="en-GB"/>
    </w:rPr>
  </w:style>
  <w:style w:type="character" w:customStyle="1" w:styleId="CommentTextChar">
    <w:name w:val="Comment Text Char"/>
    <w:basedOn w:val="DefaultParagraphFont"/>
    <w:link w:val="CommentText"/>
    <w:uiPriority w:val="99"/>
    <w:rsid w:val="000D2118"/>
    <w:rPr>
      <w:rFonts w:ascii="Arial" w:hAnsi="Arial"/>
      <w:sz w:val="24"/>
      <w:lang w:eastAsia="en-US"/>
    </w:rPr>
  </w:style>
  <w:style w:type="character" w:customStyle="1" w:styleId="CaptionChar">
    <w:name w:val="Caption Char"/>
    <w:aliases w:val="Table/Figure Heading Char,Table Number# Char,Table Number# + Bold Char,Top: (Single solid line Char,Custom Color(RGB(0 Char,91 Char,..... Char,Caption Char Char Char Char,Caption Char Char Char Char Char Char Char,Caption1 Char,Map Char"/>
    <w:link w:val="Caption"/>
    <w:uiPriority w:val="35"/>
    <w:locked/>
    <w:rsid w:val="007F6525"/>
    <w:rPr>
      <w:rFonts w:ascii="Arial" w:hAnsi="Arial"/>
      <w:b/>
      <w:bCs/>
      <w:color w:val="006726"/>
      <w:sz w:val="24"/>
      <w:lang w:eastAsia="en-US"/>
    </w:rPr>
  </w:style>
  <w:style w:type="paragraph" w:customStyle="1" w:styleId="Style2">
    <w:name w:val="Style2"/>
    <w:basedOn w:val="Heading3"/>
    <w:link w:val="Style2Char"/>
    <w:qFormat/>
    <w:rsid w:val="00797DDE"/>
    <w:pPr>
      <w:numPr>
        <w:ilvl w:val="0"/>
        <w:numId w:val="0"/>
      </w:numPr>
    </w:pPr>
  </w:style>
  <w:style w:type="character" w:customStyle="1" w:styleId="Heading3Char">
    <w:name w:val="Heading 3 Char"/>
    <w:basedOn w:val="DefaultParagraphFont"/>
    <w:link w:val="Heading3"/>
    <w:rsid w:val="00797DDE"/>
    <w:rPr>
      <w:rFonts w:ascii="Arial" w:hAnsi="Arial" w:cs="Arial"/>
      <w:b/>
      <w:bCs/>
      <w:color w:val="006726"/>
      <w:sz w:val="24"/>
      <w:szCs w:val="26"/>
      <w:lang w:eastAsia="en-US"/>
    </w:rPr>
  </w:style>
  <w:style w:type="character" w:customStyle="1" w:styleId="Style2Char">
    <w:name w:val="Style2 Char"/>
    <w:basedOn w:val="Heading3Char"/>
    <w:link w:val="Style2"/>
    <w:rsid w:val="00797DDE"/>
    <w:rPr>
      <w:rFonts w:ascii="Arial" w:hAnsi="Arial" w:cs="Arial"/>
      <w:b/>
      <w:bCs/>
      <w:color w:val="006726"/>
      <w:sz w:val="24"/>
      <w:szCs w:val="26"/>
      <w:lang w:eastAsia="en-US"/>
    </w:rPr>
  </w:style>
  <w:style w:type="character" w:customStyle="1" w:styleId="Heading2Char">
    <w:name w:val="Heading 2 Char"/>
    <w:aliases w:val="Heading 21 Char,2/1 Char,2 Char"/>
    <w:basedOn w:val="DefaultParagraphFont"/>
    <w:link w:val="Heading2"/>
    <w:rsid w:val="00C34F58"/>
    <w:rPr>
      <w:rFonts w:ascii="Arial" w:hAnsi="Arial" w:cs="Arial"/>
      <w:b/>
      <w:bCs/>
      <w:iCs/>
      <w:color w:val="006726"/>
      <w:sz w:val="3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387">
      <w:bodyDiv w:val="1"/>
      <w:marLeft w:val="0"/>
      <w:marRight w:val="0"/>
      <w:marTop w:val="0"/>
      <w:marBottom w:val="0"/>
      <w:divBdr>
        <w:top w:val="none" w:sz="0" w:space="0" w:color="auto"/>
        <w:left w:val="none" w:sz="0" w:space="0" w:color="auto"/>
        <w:bottom w:val="none" w:sz="0" w:space="0" w:color="auto"/>
        <w:right w:val="none" w:sz="0" w:space="0" w:color="auto"/>
      </w:divBdr>
    </w:div>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136993556">
      <w:bodyDiv w:val="1"/>
      <w:marLeft w:val="0"/>
      <w:marRight w:val="0"/>
      <w:marTop w:val="0"/>
      <w:marBottom w:val="0"/>
      <w:divBdr>
        <w:top w:val="none" w:sz="0" w:space="0" w:color="auto"/>
        <w:left w:val="none" w:sz="0" w:space="0" w:color="auto"/>
        <w:bottom w:val="none" w:sz="0" w:space="0" w:color="auto"/>
        <w:right w:val="none" w:sz="0" w:space="0" w:color="auto"/>
      </w:divBdr>
    </w:div>
    <w:div w:id="138959314">
      <w:bodyDiv w:val="1"/>
      <w:marLeft w:val="0"/>
      <w:marRight w:val="0"/>
      <w:marTop w:val="0"/>
      <w:marBottom w:val="0"/>
      <w:divBdr>
        <w:top w:val="none" w:sz="0" w:space="0" w:color="auto"/>
        <w:left w:val="none" w:sz="0" w:space="0" w:color="auto"/>
        <w:bottom w:val="none" w:sz="0" w:space="0" w:color="auto"/>
        <w:right w:val="none" w:sz="0" w:space="0" w:color="auto"/>
      </w:divBdr>
    </w:div>
    <w:div w:id="142084882">
      <w:bodyDiv w:val="1"/>
      <w:marLeft w:val="0"/>
      <w:marRight w:val="0"/>
      <w:marTop w:val="0"/>
      <w:marBottom w:val="0"/>
      <w:divBdr>
        <w:top w:val="none" w:sz="0" w:space="0" w:color="auto"/>
        <w:left w:val="none" w:sz="0" w:space="0" w:color="auto"/>
        <w:bottom w:val="none" w:sz="0" w:space="0" w:color="auto"/>
        <w:right w:val="none" w:sz="0" w:space="0" w:color="auto"/>
      </w:divBdr>
    </w:div>
    <w:div w:id="161774328">
      <w:bodyDiv w:val="1"/>
      <w:marLeft w:val="0"/>
      <w:marRight w:val="0"/>
      <w:marTop w:val="0"/>
      <w:marBottom w:val="0"/>
      <w:divBdr>
        <w:top w:val="none" w:sz="0" w:space="0" w:color="auto"/>
        <w:left w:val="none" w:sz="0" w:space="0" w:color="auto"/>
        <w:bottom w:val="none" w:sz="0" w:space="0" w:color="auto"/>
        <w:right w:val="none" w:sz="0" w:space="0" w:color="auto"/>
      </w:divBdr>
    </w:div>
    <w:div w:id="305281334">
      <w:bodyDiv w:val="1"/>
      <w:marLeft w:val="0"/>
      <w:marRight w:val="0"/>
      <w:marTop w:val="0"/>
      <w:marBottom w:val="0"/>
      <w:divBdr>
        <w:top w:val="none" w:sz="0" w:space="0" w:color="auto"/>
        <w:left w:val="none" w:sz="0" w:space="0" w:color="auto"/>
        <w:bottom w:val="none" w:sz="0" w:space="0" w:color="auto"/>
        <w:right w:val="none" w:sz="0" w:space="0" w:color="auto"/>
      </w:divBdr>
    </w:div>
    <w:div w:id="349986106">
      <w:bodyDiv w:val="1"/>
      <w:marLeft w:val="0"/>
      <w:marRight w:val="0"/>
      <w:marTop w:val="0"/>
      <w:marBottom w:val="0"/>
      <w:divBdr>
        <w:top w:val="none" w:sz="0" w:space="0" w:color="auto"/>
        <w:left w:val="none" w:sz="0" w:space="0" w:color="auto"/>
        <w:bottom w:val="none" w:sz="0" w:space="0" w:color="auto"/>
        <w:right w:val="none" w:sz="0" w:space="0" w:color="auto"/>
      </w:divBdr>
    </w:div>
    <w:div w:id="373165872">
      <w:bodyDiv w:val="1"/>
      <w:marLeft w:val="0"/>
      <w:marRight w:val="0"/>
      <w:marTop w:val="0"/>
      <w:marBottom w:val="0"/>
      <w:divBdr>
        <w:top w:val="none" w:sz="0" w:space="0" w:color="auto"/>
        <w:left w:val="none" w:sz="0" w:space="0" w:color="auto"/>
        <w:bottom w:val="none" w:sz="0" w:space="0" w:color="auto"/>
        <w:right w:val="none" w:sz="0" w:space="0" w:color="auto"/>
      </w:divBdr>
    </w:div>
    <w:div w:id="373970703">
      <w:bodyDiv w:val="1"/>
      <w:marLeft w:val="0"/>
      <w:marRight w:val="0"/>
      <w:marTop w:val="0"/>
      <w:marBottom w:val="0"/>
      <w:divBdr>
        <w:top w:val="none" w:sz="0" w:space="0" w:color="auto"/>
        <w:left w:val="none" w:sz="0" w:space="0" w:color="auto"/>
        <w:bottom w:val="none" w:sz="0" w:space="0" w:color="auto"/>
        <w:right w:val="none" w:sz="0" w:space="0" w:color="auto"/>
      </w:divBdr>
    </w:div>
    <w:div w:id="415908908">
      <w:bodyDiv w:val="1"/>
      <w:marLeft w:val="0"/>
      <w:marRight w:val="0"/>
      <w:marTop w:val="0"/>
      <w:marBottom w:val="0"/>
      <w:divBdr>
        <w:top w:val="none" w:sz="0" w:space="0" w:color="auto"/>
        <w:left w:val="none" w:sz="0" w:space="0" w:color="auto"/>
        <w:bottom w:val="none" w:sz="0" w:space="0" w:color="auto"/>
        <w:right w:val="none" w:sz="0" w:space="0" w:color="auto"/>
      </w:divBdr>
    </w:div>
    <w:div w:id="482045780">
      <w:bodyDiv w:val="1"/>
      <w:marLeft w:val="0"/>
      <w:marRight w:val="0"/>
      <w:marTop w:val="0"/>
      <w:marBottom w:val="0"/>
      <w:divBdr>
        <w:top w:val="none" w:sz="0" w:space="0" w:color="auto"/>
        <w:left w:val="none" w:sz="0" w:space="0" w:color="auto"/>
        <w:bottom w:val="none" w:sz="0" w:space="0" w:color="auto"/>
        <w:right w:val="none" w:sz="0" w:space="0" w:color="auto"/>
      </w:divBdr>
    </w:div>
    <w:div w:id="609046575">
      <w:bodyDiv w:val="1"/>
      <w:marLeft w:val="0"/>
      <w:marRight w:val="0"/>
      <w:marTop w:val="0"/>
      <w:marBottom w:val="0"/>
      <w:divBdr>
        <w:top w:val="none" w:sz="0" w:space="0" w:color="auto"/>
        <w:left w:val="none" w:sz="0" w:space="0" w:color="auto"/>
        <w:bottom w:val="none" w:sz="0" w:space="0" w:color="auto"/>
        <w:right w:val="none" w:sz="0" w:space="0" w:color="auto"/>
      </w:divBdr>
      <w:divsChild>
        <w:div w:id="2128037558">
          <w:marLeft w:val="0"/>
          <w:marRight w:val="0"/>
          <w:marTop w:val="0"/>
          <w:marBottom w:val="0"/>
          <w:divBdr>
            <w:top w:val="none" w:sz="0" w:space="0" w:color="auto"/>
            <w:left w:val="none" w:sz="0" w:space="0" w:color="auto"/>
            <w:bottom w:val="none" w:sz="0" w:space="0" w:color="auto"/>
            <w:right w:val="none" w:sz="0" w:space="0" w:color="auto"/>
          </w:divBdr>
          <w:divsChild>
            <w:div w:id="1713187663">
              <w:marLeft w:val="0"/>
              <w:marRight w:val="0"/>
              <w:marTop w:val="0"/>
              <w:marBottom w:val="0"/>
              <w:divBdr>
                <w:top w:val="none" w:sz="0" w:space="0" w:color="auto"/>
                <w:left w:val="none" w:sz="0" w:space="0" w:color="auto"/>
                <w:bottom w:val="none" w:sz="0" w:space="0" w:color="auto"/>
                <w:right w:val="none" w:sz="0" w:space="0" w:color="auto"/>
              </w:divBdr>
            </w:div>
          </w:divsChild>
        </w:div>
        <w:div w:id="1978753345">
          <w:marLeft w:val="0"/>
          <w:marRight w:val="0"/>
          <w:marTop w:val="0"/>
          <w:marBottom w:val="0"/>
          <w:divBdr>
            <w:top w:val="none" w:sz="0" w:space="0" w:color="auto"/>
            <w:left w:val="none" w:sz="0" w:space="0" w:color="auto"/>
            <w:bottom w:val="none" w:sz="0" w:space="0" w:color="auto"/>
            <w:right w:val="none" w:sz="0" w:space="0" w:color="auto"/>
          </w:divBdr>
          <w:divsChild>
            <w:div w:id="1651130469">
              <w:marLeft w:val="0"/>
              <w:marRight w:val="0"/>
              <w:marTop w:val="0"/>
              <w:marBottom w:val="0"/>
              <w:divBdr>
                <w:top w:val="none" w:sz="0" w:space="0" w:color="auto"/>
                <w:left w:val="none" w:sz="0" w:space="0" w:color="auto"/>
                <w:bottom w:val="none" w:sz="0" w:space="0" w:color="auto"/>
                <w:right w:val="none" w:sz="0" w:space="0" w:color="auto"/>
              </w:divBdr>
            </w:div>
          </w:divsChild>
        </w:div>
        <w:div w:id="30427718">
          <w:marLeft w:val="0"/>
          <w:marRight w:val="0"/>
          <w:marTop w:val="0"/>
          <w:marBottom w:val="0"/>
          <w:divBdr>
            <w:top w:val="none" w:sz="0" w:space="0" w:color="auto"/>
            <w:left w:val="none" w:sz="0" w:space="0" w:color="auto"/>
            <w:bottom w:val="none" w:sz="0" w:space="0" w:color="auto"/>
            <w:right w:val="none" w:sz="0" w:space="0" w:color="auto"/>
          </w:divBdr>
          <w:divsChild>
            <w:div w:id="615407209">
              <w:marLeft w:val="0"/>
              <w:marRight w:val="0"/>
              <w:marTop w:val="0"/>
              <w:marBottom w:val="0"/>
              <w:divBdr>
                <w:top w:val="none" w:sz="0" w:space="0" w:color="auto"/>
                <w:left w:val="none" w:sz="0" w:space="0" w:color="auto"/>
                <w:bottom w:val="none" w:sz="0" w:space="0" w:color="auto"/>
                <w:right w:val="none" w:sz="0" w:space="0" w:color="auto"/>
              </w:divBdr>
            </w:div>
          </w:divsChild>
        </w:div>
        <w:div w:id="1385373278">
          <w:marLeft w:val="0"/>
          <w:marRight w:val="0"/>
          <w:marTop w:val="0"/>
          <w:marBottom w:val="0"/>
          <w:divBdr>
            <w:top w:val="none" w:sz="0" w:space="0" w:color="auto"/>
            <w:left w:val="none" w:sz="0" w:space="0" w:color="auto"/>
            <w:bottom w:val="none" w:sz="0" w:space="0" w:color="auto"/>
            <w:right w:val="none" w:sz="0" w:space="0" w:color="auto"/>
          </w:divBdr>
          <w:divsChild>
            <w:div w:id="2052919136">
              <w:marLeft w:val="0"/>
              <w:marRight w:val="0"/>
              <w:marTop w:val="0"/>
              <w:marBottom w:val="0"/>
              <w:divBdr>
                <w:top w:val="none" w:sz="0" w:space="0" w:color="auto"/>
                <w:left w:val="none" w:sz="0" w:space="0" w:color="auto"/>
                <w:bottom w:val="none" w:sz="0" w:space="0" w:color="auto"/>
                <w:right w:val="none" w:sz="0" w:space="0" w:color="auto"/>
              </w:divBdr>
            </w:div>
          </w:divsChild>
        </w:div>
        <w:div w:id="2125417115">
          <w:marLeft w:val="0"/>
          <w:marRight w:val="0"/>
          <w:marTop w:val="0"/>
          <w:marBottom w:val="0"/>
          <w:divBdr>
            <w:top w:val="none" w:sz="0" w:space="0" w:color="auto"/>
            <w:left w:val="none" w:sz="0" w:space="0" w:color="auto"/>
            <w:bottom w:val="none" w:sz="0" w:space="0" w:color="auto"/>
            <w:right w:val="none" w:sz="0" w:space="0" w:color="auto"/>
          </w:divBdr>
          <w:divsChild>
            <w:div w:id="454064123">
              <w:marLeft w:val="0"/>
              <w:marRight w:val="0"/>
              <w:marTop w:val="0"/>
              <w:marBottom w:val="0"/>
              <w:divBdr>
                <w:top w:val="none" w:sz="0" w:space="0" w:color="auto"/>
                <w:left w:val="none" w:sz="0" w:space="0" w:color="auto"/>
                <w:bottom w:val="none" w:sz="0" w:space="0" w:color="auto"/>
                <w:right w:val="none" w:sz="0" w:space="0" w:color="auto"/>
              </w:divBdr>
            </w:div>
          </w:divsChild>
        </w:div>
        <w:div w:id="925113834">
          <w:marLeft w:val="0"/>
          <w:marRight w:val="0"/>
          <w:marTop w:val="0"/>
          <w:marBottom w:val="0"/>
          <w:divBdr>
            <w:top w:val="none" w:sz="0" w:space="0" w:color="auto"/>
            <w:left w:val="none" w:sz="0" w:space="0" w:color="auto"/>
            <w:bottom w:val="none" w:sz="0" w:space="0" w:color="auto"/>
            <w:right w:val="none" w:sz="0" w:space="0" w:color="auto"/>
          </w:divBdr>
          <w:divsChild>
            <w:div w:id="807867541">
              <w:marLeft w:val="0"/>
              <w:marRight w:val="0"/>
              <w:marTop w:val="0"/>
              <w:marBottom w:val="0"/>
              <w:divBdr>
                <w:top w:val="none" w:sz="0" w:space="0" w:color="auto"/>
                <w:left w:val="none" w:sz="0" w:space="0" w:color="auto"/>
                <w:bottom w:val="none" w:sz="0" w:space="0" w:color="auto"/>
                <w:right w:val="none" w:sz="0" w:space="0" w:color="auto"/>
              </w:divBdr>
            </w:div>
          </w:divsChild>
        </w:div>
        <w:div w:id="1135758250">
          <w:marLeft w:val="0"/>
          <w:marRight w:val="0"/>
          <w:marTop w:val="0"/>
          <w:marBottom w:val="0"/>
          <w:divBdr>
            <w:top w:val="none" w:sz="0" w:space="0" w:color="auto"/>
            <w:left w:val="none" w:sz="0" w:space="0" w:color="auto"/>
            <w:bottom w:val="none" w:sz="0" w:space="0" w:color="auto"/>
            <w:right w:val="none" w:sz="0" w:space="0" w:color="auto"/>
          </w:divBdr>
          <w:divsChild>
            <w:div w:id="818494213">
              <w:marLeft w:val="0"/>
              <w:marRight w:val="0"/>
              <w:marTop w:val="0"/>
              <w:marBottom w:val="0"/>
              <w:divBdr>
                <w:top w:val="none" w:sz="0" w:space="0" w:color="auto"/>
                <w:left w:val="none" w:sz="0" w:space="0" w:color="auto"/>
                <w:bottom w:val="none" w:sz="0" w:space="0" w:color="auto"/>
                <w:right w:val="none" w:sz="0" w:space="0" w:color="auto"/>
              </w:divBdr>
            </w:div>
          </w:divsChild>
        </w:div>
        <w:div w:id="1237478817">
          <w:marLeft w:val="0"/>
          <w:marRight w:val="0"/>
          <w:marTop w:val="0"/>
          <w:marBottom w:val="0"/>
          <w:divBdr>
            <w:top w:val="none" w:sz="0" w:space="0" w:color="auto"/>
            <w:left w:val="none" w:sz="0" w:space="0" w:color="auto"/>
            <w:bottom w:val="none" w:sz="0" w:space="0" w:color="auto"/>
            <w:right w:val="none" w:sz="0" w:space="0" w:color="auto"/>
          </w:divBdr>
          <w:divsChild>
            <w:div w:id="1511025063">
              <w:marLeft w:val="0"/>
              <w:marRight w:val="0"/>
              <w:marTop w:val="0"/>
              <w:marBottom w:val="0"/>
              <w:divBdr>
                <w:top w:val="none" w:sz="0" w:space="0" w:color="auto"/>
                <w:left w:val="none" w:sz="0" w:space="0" w:color="auto"/>
                <w:bottom w:val="none" w:sz="0" w:space="0" w:color="auto"/>
                <w:right w:val="none" w:sz="0" w:space="0" w:color="auto"/>
              </w:divBdr>
            </w:div>
          </w:divsChild>
        </w:div>
        <w:div w:id="1471553387">
          <w:marLeft w:val="0"/>
          <w:marRight w:val="0"/>
          <w:marTop w:val="0"/>
          <w:marBottom w:val="0"/>
          <w:divBdr>
            <w:top w:val="none" w:sz="0" w:space="0" w:color="auto"/>
            <w:left w:val="none" w:sz="0" w:space="0" w:color="auto"/>
            <w:bottom w:val="none" w:sz="0" w:space="0" w:color="auto"/>
            <w:right w:val="none" w:sz="0" w:space="0" w:color="auto"/>
          </w:divBdr>
          <w:divsChild>
            <w:div w:id="1501650936">
              <w:marLeft w:val="0"/>
              <w:marRight w:val="0"/>
              <w:marTop w:val="0"/>
              <w:marBottom w:val="0"/>
              <w:divBdr>
                <w:top w:val="none" w:sz="0" w:space="0" w:color="auto"/>
                <w:left w:val="none" w:sz="0" w:space="0" w:color="auto"/>
                <w:bottom w:val="none" w:sz="0" w:space="0" w:color="auto"/>
                <w:right w:val="none" w:sz="0" w:space="0" w:color="auto"/>
              </w:divBdr>
            </w:div>
          </w:divsChild>
        </w:div>
        <w:div w:id="673068850">
          <w:marLeft w:val="0"/>
          <w:marRight w:val="0"/>
          <w:marTop w:val="0"/>
          <w:marBottom w:val="0"/>
          <w:divBdr>
            <w:top w:val="none" w:sz="0" w:space="0" w:color="auto"/>
            <w:left w:val="none" w:sz="0" w:space="0" w:color="auto"/>
            <w:bottom w:val="none" w:sz="0" w:space="0" w:color="auto"/>
            <w:right w:val="none" w:sz="0" w:space="0" w:color="auto"/>
          </w:divBdr>
          <w:divsChild>
            <w:div w:id="1604804732">
              <w:marLeft w:val="0"/>
              <w:marRight w:val="0"/>
              <w:marTop w:val="0"/>
              <w:marBottom w:val="0"/>
              <w:divBdr>
                <w:top w:val="none" w:sz="0" w:space="0" w:color="auto"/>
                <w:left w:val="none" w:sz="0" w:space="0" w:color="auto"/>
                <w:bottom w:val="none" w:sz="0" w:space="0" w:color="auto"/>
                <w:right w:val="none" w:sz="0" w:space="0" w:color="auto"/>
              </w:divBdr>
            </w:div>
          </w:divsChild>
        </w:div>
        <w:div w:id="2077585129">
          <w:marLeft w:val="0"/>
          <w:marRight w:val="0"/>
          <w:marTop w:val="0"/>
          <w:marBottom w:val="0"/>
          <w:divBdr>
            <w:top w:val="none" w:sz="0" w:space="0" w:color="auto"/>
            <w:left w:val="none" w:sz="0" w:space="0" w:color="auto"/>
            <w:bottom w:val="none" w:sz="0" w:space="0" w:color="auto"/>
            <w:right w:val="none" w:sz="0" w:space="0" w:color="auto"/>
          </w:divBdr>
          <w:divsChild>
            <w:div w:id="266277078">
              <w:marLeft w:val="0"/>
              <w:marRight w:val="0"/>
              <w:marTop w:val="0"/>
              <w:marBottom w:val="0"/>
              <w:divBdr>
                <w:top w:val="none" w:sz="0" w:space="0" w:color="auto"/>
                <w:left w:val="none" w:sz="0" w:space="0" w:color="auto"/>
                <w:bottom w:val="none" w:sz="0" w:space="0" w:color="auto"/>
                <w:right w:val="none" w:sz="0" w:space="0" w:color="auto"/>
              </w:divBdr>
            </w:div>
          </w:divsChild>
        </w:div>
        <w:div w:id="38751228">
          <w:marLeft w:val="0"/>
          <w:marRight w:val="0"/>
          <w:marTop w:val="0"/>
          <w:marBottom w:val="0"/>
          <w:divBdr>
            <w:top w:val="none" w:sz="0" w:space="0" w:color="auto"/>
            <w:left w:val="none" w:sz="0" w:space="0" w:color="auto"/>
            <w:bottom w:val="none" w:sz="0" w:space="0" w:color="auto"/>
            <w:right w:val="none" w:sz="0" w:space="0" w:color="auto"/>
          </w:divBdr>
          <w:divsChild>
            <w:div w:id="247350854">
              <w:marLeft w:val="0"/>
              <w:marRight w:val="0"/>
              <w:marTop w:val="0"/>
              <w:marBottom w:val="0"/>
              <w:divBdr>
                <w:top w:val="none" w:sz="0" w:space="0" w:color="auto"/>
                <w:left w:val="none" w:sz="0" w:space="0" w:color="auto"/>
                <w:bottom w:val="none" w:sz="0" w:space="0" w:color="auto"/>
                <w:right w:val="none" w:sz="0" w:space="0" w:color="auto"/>
              </w:divBdr>
            </w:div>
          </w:divsChild>
        </w:div>
        <w:div w:id="196435310">
          <w:marLeft w:val="0"/>
          <w:marRight w:val="0"/>
          <w:marTop w:val="0"/>
          <w:marBottom w:val="0"/>
          <w:divBdr>
            <w:top w:val="none" w:sz="0" w:space="0" w:color="auto"/>
            <w:left w:val="none" w:sz="0" w:space="0" w:color="auto"/>
            <w:bottom w:val="none" w:sz="0" w:space="0" w:color="auto"/>
            <w:right w:val="none" w:sz="0" w:space="0" w:color="auto"/>
          </w:divBdr>
          <w:divsChild>
            <w:div w:id="593443891">
              <w:marLeft w:val="0"/>
              <w:marRight w:val="0"/>
              <w:marTop w:val="0"/>
              <w:marBottom w:val="0"/>
              <w:divBdr>
                <w:top w:val="none" w:sz="0" w:space="0" w:color="auto"/>
                <w:left w:val="none" w:sz="0" w:space="0" w:color="auto"/>
                <w:bottom w:val="none" w:sz="0" w:space="0" w:color="auto"/>
                <w:right w:val="none" w:sz="0" w:space="0" w:color="auto"/>
              </w:divBdr>
            </w:div>
          </w:divsChild>
        </w:div>
        <w:div w:id="1919708495">
          <w:marLeft w:val="0"/>
          <w:marRight w:val="0"/>
          <w:marTop w:val="0"/>
          <w:marBottom w:val="0"/>
          <w:divBdr>
            <w:top w:val="none" w:sz="0" w:space="0" w:color="auto"/>
            <w:left w:val="none" w:sz="0" w:space="0" w:color="auto"/>
            <w:bottom w:val="none" w:sz="0" w:space="0" w:color="auto"/>
            <w:right w:val="none" w:sz="0" w:space="0" w:color="auto"/>
          </w:divBdr>
          <w:divsChild>
            <w:div w:id="1805266970">
              <w:marLeft w:val="0"/>
              <w:marRight w:val="0"/>
              <w:marTop w:val="0"/>
              <w:marBottom w:val="0"/>
              <w:divBdr>
                <w:top w:val="none" w:sz="0" w:space="0" w:color="auto"/>
                <w:left w:val="none" w:sz="0" w:space="0" w:color="auto"/>
                <w:bottom w:val="none" w:sz="0" w:space="0" w:color="auto"/>
                <w:right w:val="none" w:sz="0" w:space="0" w:color="auto"/>
              </w:divBdr>
            </w:div>
          </w:divsChild>
        </w:div>
        <w:div w:id="2125228110">
          <w:marLeft w:val="0"/>
          <w:marRight w:val="0"/>
          <w:marTop w:val="0"/>
          <w:marBottom w:val="0"/>
          <w:divBdr>
            <w:top w:val="none" w:sz="0" w:space="0" w:color="auto"/>
            <w:left w:val="none" w:sz="0" w:space="0" w:color="auto"/>
            <w:bottom w:val="none" w:sz="0" w:space="0" w:color="auto"/>
            <w:right w:val="none" w:sz="0" w:space="0" w:color="auto"/>
          </w:divBdr>
          <w:divsChild>
            <w:div w:id="586809777">
              <w:marLeft w:val="0"/>
              <w:marRight w:val="0"/>
              <w:marTop w:val="0"/>
              <w:marBottom w:val="0"/>
              <w:divBdr>
                <w:top w:val="none" w:sz="0" w:space="0" w:color="auto"/>
                <w:left w:val="none" w:sz="0" w:space="0" w:color="auto"/>
                <w:bottom w:val="none" w:sz="0" w:space="0" w:color="auto"/>
                <w:right w:val="none" w:sz="0" w:space="0" w:color="auto"/>
              </w:divBdr>
            </w:div>
          </w:divsChild>
        </w:div>
        <w:div w:id="1658149538">
          <w:marLeft w:val="0"/>
          <w:marRight w:val="0"/>
          <w:marTop w:val="0"/>
          <w:marBottom w:val="0"/>
          <w:divBdr>
            <w:top w:val="none" w:sz="0" w:space="0" w:color="auto"/>
            <w:left w:val="none" w:sz="0" w:space="0" w:color="auto"/>
            <w:bottom w:val="none" w:sz="0" w:space="0" w:color="auto"/>
            <w:right w:val="none" w:sz="0" w:space="0" w:color="auto"/>
          </w:divBdr>
          <w:divsChild>
            <w:div w:id="513303525">
              <w:marLeft w:val="0"/>
              <w:marRight w:val="0"/>
              <w:marTop w:val="0"/>
              <w:marBottom w:val="0"/>
              <w:divBdr>
                <w:top w:val="none" w:sz="0" w:space="0" w:color="auto"/>
                <w:left w:val="none" w:sz="0" w:space="0" w:color="auto"/>
                <w:bottom w:val="none" w:sz="0" w:space="0" w:color="auto"/>
                <w:right w:val="none" w:sz="0" w:space="0" w:color="auto"/>
              </w:divBdr>
            </w:div>
          </w:divsChild>
        </w:div>
        <w:div w:id="1113594864">
          <w:marLeft w:val="0"/>
          <w:marRight w:val="0"/>
          <w:marTop w:val="0"/>
          <w:marBottom w:val="0"/>
          <w:divBdr>
            <w:top w:val="none" w:sz="0" w:space="0" w:color="auto"/>
            <w:left w:val="none" w:sz="0" w:space="0" w:color="auto"/>
            <w:bottom w:val="none" w:sz="0" w:space="0" w:color="auto"/>
            <w:right w:val="none" w:sz="0" w:space="0" w:color="auto"/>
          </w:divBdr>
          <w:divsChild>
            <w:div w:id="638799616">
              <w:marLeft w:val="0"/>
              <w:marRight w:val="0"/>
              <w:marTop w:val="0"/>
              <w:marBottom w:val="0"/>
              <w:divBdr>
                <w:top w:val="none" w:sz="0" w:space="0" w:color="auto"/>
                <w:left w:val="none" w:sz="0" w:space="0" w:color="auto"/>
                <w:bottom w:val="none" w:sz="0" w:space="0" w:color="auto"/>
                <w:right w:val="none" w:sz="0" w:space="0" w:color="auto"/>
              </w:divBdr>
            </w:div>
          </w:divsChild>
        </w:div>
        <w:div w:id="1764841056">
          <w:marLeft w:val="0"/>
          <w:marRight w:val="0"/>
          <w:marTop w:val="0"/>
          <w:marBottom w:val="0"/>
          <w:divBdr>
            <w:top w:val="none" w:sz="0" w:space="0" w:color="auto"/>
            <w:left w:val="none" w:sz="0" w:space="0" w:color="auto"/>
            <w:bottom w:val="none" w:sz="0" w:space="0" w:color="auto"/>
            <w:right w:val="none" w:sz="0" w:space="0" w:color="auto"/>
          </w:divBdr>
          <w:divsChild>
            <w:div w:id="1465736872">
              <w:marLeft w:val="0"/>
              <w:marRight w:val="0"/>
              <w:marTop w:val="0"/>
              <w:marBottom w:val="0"/>
              <w:divBdr>
                <w:top w:val="none" w:sz="0" w:space="0" w:color="auto"/>
                <w:left w:val="none" w:sz="0" w:space="0" w:color="auto"/>
                <w:bottom w:val="none" w:sz="0" w:space="0" w:color="auto"/>
                <w:right w:val="none" w:sz="0" w:space="0" w:color="auto"/>
              </w:divBdr>
            </w:div>
          </w:divsChild>
        </w:div>
        <w:div w:id="1959558341">
          <w:marLeft w:val="0"/>
          <w:marRight w:val="0"/>
          <w:marTop w:val="0"/>
          <w:marBottom w:val="0"/>
          <w:divBdr>
            <w:top w:val="none" w:sz="0" w:space="0" w:color="auto"/>
            <w:left w:val="none" w:sz="0" w:space="0" w:color="auto"/>
            <w:bottom w:val="none" w:sz="0" w:space="0" w:color="auto"/>
            <w:right w:val="none" w:sz="0" w:space="0" w:color="auto"/>
          </w:divBdr>
          <w:divsChild>
            <w:div w:id="1002782254">
              <w:marLeft w:val="0"/>
              <w:marRight w:val="0"/>
              <w:marTop w:val="0"/>
              <w:marBottom w:val="0"/>
              <w:divBdr>
                <w:top w:val="none" w:sz="0" w:space="0" w:color="auto"/>
                <w:left w:val="none" w:sz="0" w:space="0" w:color="auto"/>
                <w:bottom w:val="none" w:sz="0" w:space="0" w:color="auto"/>
                <w:right w:val="none" w:sz="0" w:space="0" w:color="auto"/>
              </w:divBdr>
            </w:div>
          </w:divsChild>
        </w:div>
        <w:div w:id="1937398069">
          <w:marLeft w:val="0"/>
          <w:marRight w:val="0"/>
          <w:marTop w:val="0"/>
          <w:marBottom w:val="0"/>
          <w:divBdr>
            <w:top w:val="none" w:sz="0" w:space="0" w:color="auto"/>
            <w:left w:val="none" w:sz="0" w:space="0" w:color="auto"/>
            <w:bottom w:val="none" w:sz="0" w:space="0" w:color="auto"/>
            <w:right w:val="none" w:sz="0" w:space="0" w:color="auto"/>
          </w:divBdr>
          <w:divsChild>
            <w:div w:id="1004942089">
              <w:marLeft w:val="0"/>
              <w:marRight w:val="0"/>
              <w:marTop w:val="0"/>
              <w:marBottom w:val="0"/>
              <w:divBdr>
                <w:top w:val="none" w:sz="0" w:space="0" w:color="auto"/>
                <w:left w:val="none" w:sz="0" w:space="0" w:color="auto"/>
                <w:bottom w:val="none" w:sz="0" w:space="0" w:color="auto"/>
                <w:right w:val="none" w:sz="0" w:space="0" w:color="auto"/>
              </w:divBdr>
            </w:div>
          </w:divsChild>
        </w:div>
        <w:div w:id="2099405413">
          <w:marLeft w:val="0"/>
          <w:marRight w:val="0"/>
          <w:marTop w:val="0"/>
          <w:marBottom w:val="0"/>
          <w:divBdr>
            <w:top w:val="none" w:sz="0" w:space="0" w:color="auto"/>
            <w:left w:val="none" w:sz="0" w:space="0" w:color="auto"/>
            <w:bottom w:val="none" w:sz="0" w:space="0" w:color="auto"/>
            <w:right w:val="none" w:sz="0" w:space="0" w:color="auto"/>
          </w:divBdr>
          <w:divsChild>
            <w:div w:id="15869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4054">
      <w:bodyDiv w:val="1"/>
      <w:marLeft w:val="0"/>
      <w:marRight w:val="0"/>
      <w:marTop w:val="0"/>
      <w:marBottom w:val="0"/>
      <w:divBdr>
        <w:top w:val="none" w:sz="0" w:space="0" w:color="auto"/>
        <w:left w:val="none" w:sz="0" w:space="0" w:color="auto"/>
        <w:bottom w:val="none" w:sz="0" w:space="0" w:color="auto"/>
        <w:right w:val="none" w:sz="0" w:space="0" w:color="auto"/>
      </w:divBdr>
    </w:div>
    <w:div w:id="615336675">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2620396">
      <w:bodyDiv w:val="1"/>
      <w:marLeft w:val="0"/>
      <w:marRight w:val="0"/>
      <w:marTop w:val="0"/>
      <w:marBottom w:val="0"/>
      <w:divBdr>
        <w:top w:val="none" w:sz="0" w:space="0" w:color="auto"/>
        <w:left w:val="none" w:sz="0" w:space="0" w:color="auto"/>
        <w:bottom w:val="none" w:sz="0" w:space="0" w:color="auto"/>
        <w:right w:val="none" w:sz="0" w:space="0" w:color="auto"/>
      </w:divBdr>
    </w:div>
    <w:div w:id="638995725">
      <w:bodyDiv w:val="1"/>
      <w:marLeft w:val="0"/>
      <w:marRight w:val="0"/>
      <w:marTop w:val="0"/>
      <w:marBottom w:val="0"/>
      <w:divBdr>
        <w:top w:val="none" w:sz="0" w:space="0" w:color="auto"/>
        <w:left w:val="none" w:sz="0" w:space="0" w:color="auto"/>
        <w:bottom w:val="none" w:sz="0" w:space="0" w:color="auto"/>
        <w:right w:val="none" w:sz="0" w:space="0" w:color="auto"/>
      </w:divBdr>
    </w:div>
    <w:div w:id="662247764">
      <w:bodyDiv w:val="1"/>
      <w:marLeft w:val="0"/>
      <w:marRight w:val="0"/>
      <w:marTop w:val="0"/>
      <w:marBottom w:val="0"/>
      <w:divBdr>
        <w:top w:val="none" w:sz="0" w:space="0" w:color="auto"/>
        <w:left w:val="none" w:sz="0" w:space="0" w:color="auto"/>
        <w:bottom w:val="none" w:sz="0" w:space="0" w:color="auto"/>
        <w:right w:val="none" w:sz="0" w:space="0" w:color="auto"/>
      </w:divBdr>
    </w:div>
    <w:div w:id="727610754">
      <w:bodyDiv w:val="1"/>
      <w:marLeft w:val="0"/>
      <w:marRight w:val="0"/>
      <w:marTop w:val="0"/>
      <w:marBottom w:val="0"/>
      <w:divBdr>
        <w:top w:val="none" w:sz="0" w:space="0" w:color="auto"/>
        <w:left w:val="none" w:sz="0" w:space="0" w:color="auto"/>
        <w:bottom w:val="none" w:sz="0" w:space="0" w:color="auto"/>
        <w:right w:val="none" w:sz="0" w:space="0" w:color="auto"/>
      </w:divBdr>
    </w:div>
    <w:div w:id="771365710">
      <w:bodyDiv w:val="1"/>
      <w:marLeft w:val="0"/>
      <w:marRight w:val="0"/>
      <w:marTop w:val="0"/>
      <w:marBottom w:val="0"/>
      <w:divBdr>
        <w:top w:val="none" w:sz="0" w:space="0" w:color="auto"/>
        <w:left w:val="none" w:sz="0" w:space="0" w:color="auto"/>
        <w:bottom w:val="none" w:sz="0" w:space="0" w:color="auto"/>
        <w:right w:val="none" w:sz="0" w:space="0" w:color="auto"/>
      </w:divBdr>
    </w:div>
    <w:div w:id="772555043">
      <w:bodyDiv w:val="1"/>
      <w:marLeft w:val="0"/>
      <w:marRight w:val="0"/>
      <w:marTop w:val="0"/>
      <w:marBottom w:val="0"/>
      <w:divBdr>
        <w:top w:val="none" w:sz="0" w:space="0" w:color="auto"/>
        <w:left w:val="none" w:sz="0" w:space="0" w:color="auto"/>
        <w:bottom w:val="none" w:sz="0" w:space="0" w:color="auto"/>
        <w:right w:val="none" w:sz="0" w:space="0" w:color="auto"/>
      </w:divBdr>
    </w:div>
    <w:div w:id="885482267">
      <w:bodyDiv w:val="1"/>
      <w:marLeft w:val="0"/>
      <w:marRight w:val="0"/>
      <w:marTop w:val="0"/>
      <w:marBottom w:val="0"/>
      <w:divBdr>
        <w:top w:val="none" w:sz="0" w:space="0" w:color="auto"/>
        <w:left w:val="none" w:sz="0" w:space="0" w:color="auto"/>
        <w:bottom w:val="none" w:sz="0" w:space="0" w:color="auto"/>
        <w:right w:val="none" w:sz="0" w:space="0" w:color="auto"/>
      </w:divBdr>
    </w:div>
    <w:div w:id="992568068">
      <w:bodyDiv w:val="1"/>
      <w:marLeft w:val="0"/>
      <w:marRight w:val="0"/>
      <w:marTop w:val="0"/>
      <w:marBottom w:val="0"/>
      <w:divBdr>
        <w:top w:val="none" w:sz="0" w:space="0" w:color="auto"/>
        <w:left w:val="none" w:sz="0" w:space="0" w:color="auto"/>
        <w:bottom w:val="none" w:sz="0" w:space="0" w:color="auto"/>
        <w:right w:val="none" w:sz="0" w:space="0" w:color="auto"/>
      </w:divBdr>
      <w:divsChild>
        <w:div w:id="247160129">
          <w:marLeft w:val="0"/>
          <w:marRight w:val="0"/>
          <w:marTop w:val="0"/>
          <w:marBottom w:val="0"/>
          <w:divBdr>
            <w:top w:val="none" w:sz="0" w:space="0" w:color="auto"/>
            <w:left w:val="none" w:sz="0" w:space="0" w:color="auto"/>
            <w:bottom w:val="none" w:sz="0" w:space="0" w:color="auto"/>
            <w:right w:val="none" w:sz="0" w:space="0" w:color="auto"/>
          </w:divBdr>
        </w:div>
        <w:div w:id="789544487">
          <w:marLeft w:val="0"/>
          <w:marRight w:val="0"/>
          <w:marTop w:val="0"/>
          <w:marBottom w:val="0"/>
          <w:divBdr>
            <w:top w:val="none" w:sz="0" w:space="0" w:color="auto"/>
            <w:left w:val="none" w:sz="0" w:space="0" w:color="auto"/>
            <w:bottom w:val="none" w:sz="0" w:space="0" w:color="auto"/>
            <w:right w:val="none" w:sz="0" w:space="0" w:color="auto"/>
          </w:divBdr>
        </w:div>
      </w:divsChild>
    </w:div>
    <w:div w:id="1011956745">
      <w:bodyDiv w:val="1"/>
      <w:marLeft w:val="0"/>
      <w:marRight w:val="0"/>
      <w:marTop w:val="0"/>
      <w:marBottom w:val="0"/>
      <w:divBdr>
        <w:top w:val="none" w:sz="0" w:space="0" w:color="auto"/>
        <w:left w:val="none" w:sz="0" w:space="0" w:color="auto"/>
        <w:bottom w:val="none" w:sz="0" w:space="0" w:color="auto"/>
        <w:right w:val="none" w:sz="0" w:space="0" w:color="auto"/>
      </w:divBdr>
    </w:div>
    <w:div w:id="1043869633">
      <w:bodyDiv w:val="1"/>
      <w:marLeft w:val="0"/>
      <w:marRight w:val="0"/>
      <w:marTop w:val="0"/>
      <w:marBottom w:val="0"/>
      <w:divBdr>
        <w:top w:val="none" w:sz="0" w:space="0" w:color="auto"/>
        <w:left w:val="none" w:sz="0" w:space="0" w:color="auto"/>
        <w:bottom w:val="none" w:sz="0" w:space="0" w:color="auto"/>
        <w:right w:val="none" w:sz="0" w:space="0" w:color="auto"/>
      </w:divBdr>
    </w:div>
    <w:div w:id="1142625432">
      <w:bodyDiv w:val="1"/>
      <w:marLeft w:val="0"/>
      <w:marRight w:val="0"/>
      <w:marTop w:val="0"/>
      <w:marBottom w:val="0"/>
      <w:divBdr>
        <w:top w:val="none" w:sz="0" w:space="0" w:color="auto"/>
        <w:left w:val="none" w:sz="0" w:space="0" w:color="auto"/>
        <w:bottom w:val="none" w:sz="0" w:space="0" w:color="auto"/>
        <w:right w:val="none" w:sz="0" w:space="0" w:color="auto"/>
      </w:divBdr>
    </w:div>
    <w:div w:id="1239483424">
      <w:bodyDiv w:val="1"/>
      <w:marLeft w:val="0"/>
      <w:marRight w:val="0"/>
      <w:marTop w:val="0"/>
      <w:marBottom w:val="0"/>
      <w:divBdr>
        <w:top w:val="none" w:sz="0" w:space="0" w:color="auto"/>
        <w:left w:val="none" w:sz="0" w:space="0" w:color="auto"/>
        <w:bottom w:val="none" w:sz="0" w:space="0" w:color="auto"/>
        <w:right w:val="none" w:sz="0" w:space="0" w:color="auto"/>
      </w:divBdr>
    </w:div>
    <w:div w:id="1268271654">
      <w:bodyDiv w:val="1"/>
      <w:marLeft w:val="0"/>
      <w:marRight w:val="0"/>
      <w:marTop w:val="0"/>
      <w:marBottom w:val="0"/>
      <w:divBdr>
        <w:top w:val="none" w:sz="0" w:space="0" w:color="auto"/>
        <w:left w:val="none" w:sz="0" w:space="0" w:color="auto"/>
        <w:bottom w:val="none" w:sz="0" w:space="0" w:color="auto"/>
        <w:right w:val="none" w:sz="0" w:space="0" w:color="auto"/>
      </w:divBdr>
    </w:div>
    <w:div w:id="1271278064">
      <w:bodyDiv w:val="1"/>
      <w:marLeft w:val="0"/>
      <w:marRight w:val="0"/>
      <w:marTop w:val="0"/>
      <w:marBottom w:val="0"/>
      <w:divBdr>
        <w:top w:val="none" w:sz="0" w:space="0" w:color="auto"/>
        <w:left w:val="none" w:sz="0" w:space="0" w:color="auto"/>
        <w:bottom w:val="none" w:sz="0" w:space="0" w:color="auto"/>
        <w:right w:val="none" w:sz="0" w:space="0" w:color="auto"/>
      </w:divBdr>
    </w:div>
    <w:div w:id="1284264122">
      <w:bodyDiv w:val="1"/>
      <w:marLeft w:val="0"/>
      <w:marRight w:val="0"/>
      <w:marTop w:val="0"/>
      <w:marBottom w:val="0"/>
      <w:divBdr>
        <w:top w:val="none" w:sz="0" w:space="0" w:color="auto"/>
        <w:left w:val="none" w:sz="0" w:space="0" w:color="auto"/>
        <w:bottom w:val="none" w:sz="0" w:space="0" w:color="auto"/>
        <w:right w:val="none" w:sz="0" w:space="0" w:color="auto"/>
      </w:divBdr>
    </w:div>
    <w:div w:id="1291857923">
      <w:bodyDiv w:val="1"/>
      <w:marLeft w:val="0"/>
      <w:marRight w:val="0"/>
      <w:marTop w:val="0"/>
      <w:marBottom w:val="0"/>
      <w:divBdr>
        <w:top w:val="none" w:sz="0" w:space="0" w:color="auto"/>
        <w:left w:val="none" w:sz="0" w:space="0" w:color="auto"/>
        <w:bottom w:val="none" w:sz="0" w:space="0" w:color="auto"/>
        <w:right w:val="none" w:sz="0" w:space="0" w:color="auto"/>
      </w:divBdr>
    </w:div>
    <w:div w:id="1379813855">
      <w:bodyDiv w:val="1"/>
      <w:marLeft w:val="0"/>
      <w:marRight w:val="0"/>
      <w:marTop w:val="0"/>
      <w:marBottom w:val="0"/>
      <w:divBdr>
        <w:top w:val="none" w:sz="0" w:space="0" w:color="auto"/>
        <w:left w:val="none" w:sz="0" w:space="0" w:color="auto"/>
        <w:bottom w:val="none" w:sz="0" w:space="0" w:color="auto"/>
        <w:right w:val="none" w:sz="0" w:space="0" w:color="auto"/>
      </w:divBdr>
    </w:div>
    <w:div w:id="1390881062">
      <w:bodyDiv w:val="1"/>
      <w:marLeft w:val="0"/>
      <w:marRight w:val="0"/>
      <w:marTop w:val="0"/>
      <w:marBottom w:val="0"/>
      <w:divBdr>
        <w:top w:val="none" w:sz="0" w:space="0" w:color="auto"/>
        <w:left w:val="none" w:sz="0" w:space="0" w:color="auto"/>
        <w:bottom w:val="none" w:sz="0" w:space="0" w:color="auto"/>
        <w:right w:val="none" w:sz="0" w:space="0" w:color="auto"/>
      </w:divBdr>
    </w:div>
    <w:div w:id="1423257290">
      <w:bodyDiv w:val="1"/>
      <w:marLeft w:val="0"/>
      <w:marRight w:val="0"/>
      <w:marTop w:val="0"/>
      <w:marBottom w:val="0"/>
      <w:divBdr>
        <w:top w:val="none" w:sz="0" w:space="0" w:color="auto"/>
        <w:left w:val="none" w:sz="0" w:space="0" w:color="auto"/>
        <w:bottom w:val="none" w:sz="0" w:space="0" w:color="auto"/>
        <w:right w:val="none" w:sz="0" w:space="0" w:color="auto"/>
      </w:divBdr>
    </w:div>
    <w:div w:id="1425685065">
      <w:bodyDiv w:val="1"/>
      <w:marLeft w:val="0"/>
      <w:marRight w:val="0"/>
      <w:marTop w:val="0"/>
      <w:marBottom w:val="0"/>
      <w:divBdr>
        <w:top w:val="none" w:sz="0" w:space="0" w:color="auto"/>
        <w:left w:val="none" w:sz="0" w:space="0" w:color="auto"/>
        <w:bottom w:val="none" w:sz="0" w:space="0" w:color="auto"/>
        <w:right w:val="none" w:sz="0" w:space="0" w:color="auto"/>
      </w:divBdr>
    </w:div>
    <w:div w:id="1506751300">
      <w:bodyDiv w:val="1"/>
      <w:marLeft w:val="0"/>
      <w:marRight w:val="0"/>
      <w:marTop w:val="0"/>
      <w:marBottom w:val="0"/>
      <w:divBdr>
        <w:top w:val="none" w:sz="0" w:space="0" w:color="auto"/>
        <w:left w:val="none" w:sz="0" w:space="0" w:color="auto"/>
        <w:bottom w:val="none" w:sz="0" w:space="0" w:color="auto"/>
        <w:right w:val="none" w:sz="0" w:space="0" w:color="auto"/>
      </w:divBdr>
    </w:div>
    <w:div w:id="1659066740">
      <w:bodyDiv w:val="1"/>
      <w:marLeft w:val="0"/>
      <w:marRight w:val="0"/>
      <w:marTop w:val="0"/>
      <w:marBottom w:val="0"/>
      <w:divBdr>
        <w:top w:val="none" w:sz="0" w:space="0" w:color="auto"/>
        <w:left w:val="none" w:sz="0" w:space="0" w:color="auto"/>
        <w:bottom w:val="none" w:sz="0" w:space="0" w:color="auto"/>
        <w:right w:val="none" w:sz="0" w:space="0" w:color="auto"/>
      </w:divBdr>
      <w:divsChild>
        <w:div w:id="1643730944">
          <w:marLeft w:val="0"/>
          <w:marRight w:val="0"/>
          <w:marTop w:val="0"/>
          <w:marBottom w:val="0"/>
          <w:divBdr>
            <w:top w:val="none" w:sz="0" w:space="0" w:color="auto"/>
            <w:left w:val="none" w:sz="0" w:space="0" w:color="auto"/>
            <w:bottom w:val="none" w:sz="0" w:space="0" w:color="auto"/>
            <w:right w:val="none" w:sz="0" w:space="0" w:color="auto"/>
          </w:divBdr>
          <w:divsChild>
            <w:div w:id="1066992316">
              <w:marLeft w:val="0"/>
              <w:marRight w:val="0"/>
              <w:marTop w:val="0"/>
              <w:marBottom w:val="0"/>
              <w:divBdr>
                <w:top w:val="none" w:sz="0" w:space="0" w:color="auto"/>
                <w:left w:val="none" w:sz="0" w:space="0" w:color="auto"/>
                <w:bottom w:val="none" w:sz="0" w:space="0" w:color="auto"/>
                <w:right w:val="none" w:sz="0" w:space="0" w:color="auto"/>
              </w:divBdr>
            </w:div>
          </w:divsChild>
        </w:div>
        <w:div w:id="163790342">
          <w:marLeft w:val="0"/>
          <w:marRight w:val="0"/>
          <w:marTop w:val="0"/>
          <w:marBottom w:val="0"/>
          <w:divBdr>
            <w:top w:val="none" w:sz="0" w:space="0" w:color="auto"/>
            <w:left w:val="none" w:sz="0" w:space="0" w:color="auto"/>
            <w:bottom w:val="none" w:sz="0" w:space="0" w:color="auto"/>
            <w:right w:val="none" w:sz="0" w:space="0" w:color="auto"/>
          </w:divBdr>
          <w:divsChild>
            <w:div w:id="348914512">
              <w:marLeft w:val="0"/>
              <w:marRight w:val="0"/>
              <w:marTop w:val="0"/>
              <w:marBottom w:val="0"/>
              <w:divBdr>
                <w:top w:val="none" w:sz="0" w:space="0" w:color="auto"/>
                <w:left w:val="none" w:sz="0" w:space="0" w:color="auto"/>
                <w:bottom w:val="none" w:sz="0" w:space="0" w:color="auto"/>
                <w:right w:val="none" w:sz="0" w:space="0" w:color="auto"/>
              </w:divBdr>
            </w:div>
          </w:divsChild>
        </w:div>
        <w:div w:id="1555044842">
          <w:marLeft w:val="0"/>
          <w:marRight w:val="0"/>
          <w:marTop w:val="0"/>
          <w:marBottom w:val="0"/>
          <w:divBdr>
            <w:top w:val="none" w:sz="0" w:space="0" w:color="auto"/>
            <w:left w:val="none" w:sz="0" w:space="0" w:color="auto"/>
            <w:bottom w:val="none" w:sz="0" w:space="0" w:color="auto"/>
            <w:right w:val="none" w:sz="0" w:space="0" w:color="auto"/>
          </w:divBdr>
          <w:divsChild>
            <w:div w:id="384764144">
              <w:marLeft w:val="0"/>
              <w:marRight w:val="0"/>
              <w:marTop w:val="0"/>
              <w:marBottom w:val="0"/>
              <w:divBdr>
                <w:top w:val="none" w:sz="0" w:space="0" w:color="auto"/>
                <w:left w:val="none" w:sz="0" w:space="0" w:color="auto"/>
                <w:bottom w:val="none" w:sz="0" w:space="0" w:color="auto"/>
                <w:right w:val="none" w:sz="0" w:space="0" w:color="auto"/>
              </w:divBdr>
            </w:div>
          </w:divsChild>
        </w:div>
        <w:div w:id="1159879549">
          <w:marLeft w:val="0"/>
          <w:marRight w:val="0"/>
          <w:marTop w:val="0"/>
          <w:marBottom w:val="0"/>
          <w:divBdr>
            <w:top w:val="none" w:sz="0" w:space="0" w:color="auto"/>
            <w:left w:val="none" w:sz="0" w:space="0" w:color="auto"/>
            <w:bottom w:val="none" w:sz="0" w:space="0" w:color="auto"/>
            <w:right w:val="none" w:sz="0" w:space="0" w:color="auto"/>
          </w:divBdr>
          <w:divsChild>
            <w:div w:id="834878890">
              <w:marLeft w:val="0"/>
              <w:marRight w:val="0"/>
              <w:marTop w:val="0"/>
              <w:marBottom w:val="0"/>
              <w:divBdr>
                <w:top w:val="none" w:sz="0" w:space="0" w:color="auto"/>
                <w:left w:val="none" w:sz="0" w:space="0" w:color="auto"/>
                <w:bottom w:val="none" w:sz="0" w:space="0" w:color="auto"/>
                <w:right w:val="none" w:sz="0" w:space="0" w:color="auto"/>
              </w:divBdr>
            </w:div>
          </w:divsChild>
        </w:div>
        <w:div w:id="1288241790">
          <w:marLeft w:val="0"/>
          <w:marRight w:val="0"/>
          <w:marTop w:val="0"/>
          <w:marBottom w:val="0"/>
          <w:divBdr>
            <w:top w:val="none" w:sz="0" w:space="0" w:color="auto"/>
            <w:left w:val="none" w:sz="0" w:space="0" w:color="auto"/>
            <w:bottom w:val="none" w:sz="0" w:space="0" w:color="auto"/>
            <w:right w:val="none" w:sz="0" w:space="0" w:color="auto"/>
          </w:divBdr>
          <w:divsChild>
            <w:div w:id="1675179441">
              <w:marLeft w:val="0"/>
              <w:marRight w:val="0"/>
              <w:marTop w:val="0"/>
              <w:marBottom w:val="0"/>
              <w:divBdr>
                <w:top w:val="none" w:sz="0" w:space="0" w:color="auto"/>
                <w:left w:val="none" w:sz="0" w:space="0" w:color="auto"/>
                <w:bottom w:val="none" w:sz="0" w:space="0" w:color="auto"/>
                <w:right w:val="none" w:sz="0" w:space="0" w:color="auto"/>
              </w:divBdr>
            </w:div>
          </w:divsChild>
        </w:div>
        <w:div w:id="1017930930">
          <w:marLeft w:val="0"/>
          <w:marRight w:val="0"/>
          <w:marTop w:val="0"/>
          <w:marBottom w:val="0"/>
          <w:divBdr>
            <w:top w:val="none" w:sz="0" w:space="0" w:color="auto"/>
            <w:left w:val="none" w:sz="0" w:space="0" w:color="auto"/>
            <w:bottom w:val="none" w:sz="0" w:space="0" w:color="auto"/>
            <w:right w:val="none" w:sz="0" w:space="0" w:color="auto"/>
          </w:divBdr>
          <w:divsChild>
            <w:div w:id="893661139">
              <w:marLeft w:val="0"/>
              <w:marRight w:val="0"/>
              <w:marTop w:val="0"/>
              <w:marBottom w:val="0"/>
              <w:divBdr>
                <w:top w:val="none" w:sz="0" w:space="0" w:color="auto"/>
                <w:left w:val="none" w:sz="0" w:space="0" w:color="auto"/>
                <w:bottom w:val="none" w:sz="0" w:space="0" w:color="auto"/>
                <w:right w:val="none" w:sz="0" w:space="0" w:color="auto"/>
              </w:divBdr>
            </w:div>
          </w:divsChild>
        </w:div>
        <w:div w:id="1368405925">
          <w:marLeft w:val="0"/>
          <w:marRight w:val="0"/>
          <w:marTop w:val="0"/>
          <w:marBottom w:val="0"/>
          <w:divBdr>
            <w:top w:val="none" w:sz="0" w:space="0" w:color="auto"/>
            <w:left w:val="none" w:sz="0" w:space="0" w:color="auto"/>
            <w:bottom w:val="none" w:sz="0" w:space="0" w:color="auto"/>
            <w:right w:val="none" w:sz="0" w:space="0" w:color="auto"/>
          </w:divBdr>
          <w:divsChild>
            <w:div w:id="378674720">
              <w:marLeft w:val="0"/>
              <w:marRight w:val="0"/>
              <w:marTop w:val="0"/>
              <w:marBottom w:val="0"/>
              <w:divBdr>
                <w:top w:val="none" w:sz="0" w:space="0" w:color="auto"/>
                <w:left w:val="none" w:sz="0" w:space="0" w:color="auto"/>
                <w:bottom w:val="none" w:sz="0" w:space="0" w:color="auto"/>
                <w:right w:val="none" w:sz="0" w:space="0" w:color="auto"/>
              </w:divBdr>
            </w:div>
          </w:divsChild>
        </w:div>
        <w:div w:id="1315991157">
          <w:marLeft w:val="0"/>
          <w:marRight w:val="0"/>
          <w:marTop w:val="0"/>
          <w:marBottom w:val="0"/>
          <w:divBdr>
            <w:top w:val="none" w:sz="0" w:space="0" w:color="auto"/>
            <w:left w:val="none" w:sz="0" w:space="0" w:color="auto"/>
            <w:bottom w:val="none" w:sz="0" w:space="0" w:color="auto"/>
            <w:right w:val="none" w:sz="0" w:space="0" w:color="auto"/>
          </w:divBdr>
          <w:divsChild>
            <w:div w:id="1287540250">
              <w:marLeft w:val="0"/>
              <w:marRight w:val="0"/>
              <w:marTop w:val="0"/>
              <w:marBottom w:val="0"/>
              <w:divBdr>
                <w:top w:val="none" w:sz="0" w:space="0" w:color="auto"/>
                <w:left w:val="none" w:sz="0" w:space="0" w:color="auto"/>
                <w:bottom w:val="none" w:sz="0" w:space="0" w:color="auto"/>
                <w:right w:val="none" w:sz="0" w:space="0" w:color="auto"/>
              </w:divBdr>
            </w:div>
          </w:divsChild>
        </w:div>
        <w:div w:id="1168978924">
          <w:marLeft w:val="0"/>
          <w:marRight w:val="0"/>
          <w:marTop w:val="0"/>
          <w:marBottom w:val="0"/>
          <w:divBdr>
            <w:top w:val="none" w:sz="0" w:space="0" w:color="auto"/>
            <w:left w:val="none" w:sz="0" w:space="0" w:color="auto"/>
            <w:bottom w:val="none" w:sz="0" w:space="0" w:color="auto"/>
            <w:right w:val="none" w:sz="0" w:space="0" w:color="auto"/>
          </w:divBdr>
          <w:divsChild>
            <w:div w:id="569853205">
              <w:marLeft w:val="0"/>
              <w:marRight w:val="0"/>
              <w:marTop w:val="0"/>
              <w:marBottom w:val="0"/>
              <w:divBdr>
                <w:top w:val="none" w:sz="0" w:space="0" w:color="auto"/>
                <w:left w:val="none" w:sz="0" w:space="0" w:color="auto"/>
                <w:bottom w:val="none" w:sz="0" w:space="0" w:color="auto"/>
                <w:right w:val="none" w:sz="0" w:space="0" w:color="auto"/>
              </w:divBdr>
            </w:div>
          </w:divsChild>
        </w:div>
        <w:div w:id="587007054">
          <w:marLeft w:val="0"/>
          <w:marRight w:val="0"/>
          <w:marTop w:val="0"/>
          <w:marBottom w:val="0"/>
          <w:divBdr>
            <w:top w:val="none" w:sz="0" w:space="0" w:color="auto"/>
            <w:left w:val="none" w:sz="0" w:space="0" w:color="auto"/>
            <w:bottom w:val="none" w:sz="0" w:space="0" w:color="auto"/>
            <w:right w:val="none" w:sz="0" w:space="0" w:color="auto"/>
          </w:divBdr>
          <w:divsChild>
            <w:div w:id="1825702005">
              <w:marLeft w:val="0"/>
              <w:marRight w:val="0"/>
              <w:marTop w:val="0"/>
              <w:marBottom w:val="0"/>
              <w:divBdr>
                <w:top w:val="none" w:sz="0" w:space="0" w:color="auto"/>
                <w:left w:val="none" w:sz="0" w:space="0" w:color="auto"/>
                <w:bottom w:val="none" w:sz="0" w:space="0" w:color="auto"/>
                <w:right w:val="none" w:sz="0" w:space="0" w:color="auto"/>
              </w:divBdr>
            </w:div>
          </w:divsChild>
        </w:div>
        <w:div w:id="2137991803">
          <w:marLeft w:val="0"/>
          <w:marRight w:val="0"/>
          <w:marTop w:val="0"/>
          <w:marBottom w:val="0"/>
          <w:divBdr>
            <w:top w:val="none" w:sz="0" w:space="0" w:color="auto"/>
            <w:left w:val="none" w:sz="0" w:space="0" w:color="auto"/>
            <w:bottom w:val="none" w:sz="0" w:space="0" w:color="auto"/>
            <w:right w:val="none" w:sz="0" w:space="0" w:color="auto"/>
          </w:divBdr>
          <w:divsChild>
            <w:div w:id="871724811">
              <w:marLeft w:val="0"/>
              <w:marRight w:val="0"/>
              <w:marTop w:val="0"/>
              <w:marBottom w:val="0"/>
              <w:divBdr>
                <w:top w:val="none" w:sz="0" w:space="0" w:color="auto"/>
                <w:left w:val="none" w:sz="0" w:space="0" w:color="auto"/>
                <w:bottom w:val="none" w:sz="0" w:space="0" w:color="auto"/>
                <w:right w:val="none" w:sz="0" w:space="0" w:color="auto"/>
              </w:divBdr>
            </w:div>
          </w:divsChild>
        </w:div>
        <w:div w:id="278685987">
          <w:marLeft w:val="0"/>
          <w:marRight w:val="0"/>
          <w:marTop w:val="0"/>
          <w:marBottom w:val="0"/>
          <w:divBdr>
            <w:top w:val="none" w:sz="0" w:space="0" w:color="auto"/>
            <w:left w:val="none" w:sz="0" w:space="0" w:color="auto"/>
            <w:bottom w:val="none" w:sz="0" w:space="0" w:color="auto"/>
            <w:right w:val="none" w:sz="0" w:space="0" w:color="auto"/>
          </w:divBdr>
          <w:divsChild>
            <w:div w:id="1047798767">
              <w:marLeft w:val="0"/>
              <w:marRight w:val="0"/>
              <w:marTop w:val="0"/>
              <w:marBottom w:val="0"/>
              <w:divBdr>
                <w:top w:val="none" w:sz="0" w:space="0" w:color="auto"/>
                <w:left w:val="none" w:sz="0" w:space="0" w:color="auto"/>
                <w:bottom w:val="none" w:sz="0" w:space="0" w:color="auto"/>
                <w:right w:val="none" w:sz="0" w:space="0" w:color="auto"/>
              </w:divBdr>
            </w:div>
          </w:divsChild>
        </w:div>
        <w:div w:id="1713071832">
          <w:marLeft w:val="0"/>
          <w:marRight w:val="0"/>
          <w:marTop w:val="0"/>
          <w:marBottom w:val="0"/>
          <w:divBdr>
            <w:top w:val="none" w:sz="0" w:space="0" w:color="auto"/>
            <w:left w:val="none" w:sz="0" w:space="0" w:color="auto"/>
            <w:bottom w:val="none" w:sz="0" w:space="0" w:color="auto"/>
            <w:right w:val="none" w:sz="0" w:space="0" w:color="auto"/>
          </w:divBdr>
          <w:divsChild>
            <w:div w:id="489951349">
              <w:marLeft w:val="0"/>
              <w:marRight w:val="0"/>
              <w:marTop w:val="0"/>
              <w:marBottom w:val="0"/>
              <w:divBdr>
                <w:top w:val="none" w:sz="0" w:space="0" w:color="auto"/>
                <w:left w:val="none" w:sz="0" w:space="0" w:color="auto"/>
                <w:bottom w:val="none" w:sz="0" w:space="0" w:color="auto"/>
                <w:right w:val="none" w:sz="0" w:space="0" w:color="auto"/>
              </w:divBdr>
            </w:div>
          </w:divsChild>
        </w:div>
        <w:div w:id="111557992">
          <w:marLeft w:val="0"/>
          <w:marRight w:val="0"/>
          <w:marTop w:val="0"/>
          <w:marBottom w:val="0"/>
          <w:divBdr>
            <w:top w:val="none" w:sz="0" w:space="0" w:color="auto"/>
            <w:left w:val="none" w:sz="0" w:space="0" w:color="auto"/>
            <w:bottom w:val="none" w:sz="0" w:space="0" w:color="auto"/>
            <w:right w:val="none" w:sz="0" w:space="0" w:color="auto"/>
          </w:divBdr>
          <w:divsChild>
            <w:div w:id="265113916">
              <w:marLeft w:val="0"/>
              <w:marRight w:val="0"/>
              <w:marTop w:val="0"/>
              <w:marBottom w:val="0"/>
              <w:divBdr>
                <w:top w:val="none" w:sz="0" w:space="0" w:color="auto"/>
                <w:left w:val="none" w:sz="0" w:space="0" w:color="auto"/>
                <w:bottom w:val="none" w:sz="0" w:space="0" w:color="auto"/>
                <w:right w:val="none" w:sz="0" w:space="0" w:color="auto"/>
              </w:divBdr>
            </w:div>
          </w:divsChild>
        </w:div>
        <w:div w:id="132413658">
          <w:marLeft w:val="0"/>
          <w:marRight w:val="0"/>
          <w:marTop w:val="0"/>
          <w:marBottom w:val="0"/>
          <w:divBdr>
            <w:top w:val="none" w:sz="0" w:space="0" w:color="auto"/>
            <w:left w:val="none" w:sz="0" w:space="0" w:color="auto"/>
            <w:bottom w:val="none" w:sz="0" w:space="0" w:color="auto"/>
            <w:right w:val="none" w:sz="0" w:space="0" w:color="auto"/>
          </w:divBdr>
          <w:divsChild>
            <w:div w:id="1270119740">
              <w:marLeft w:val="0"/>
              <w:marRight w:val="0"/>
              <w:marTop w:val="0"/>
              <w:marBottom w:val="0"/>
              <w:divBdr>
                <w:top w:val="none" w:sz="0" w:space="0" w:color="auto"/>
                <w:left w:val="none" w:sz="0" w:space="0" w:color="auto"/>
                <w:bottom w:val="none" w:sz="0" w:space="0" w:color="auto"/>
                <w:right w:val="none" w:sz="0" w:space="0" w:color="auto"/>
              </w:divBdr>
            </w:div>
          </w:divsChild>
        </w:div>
        <w:div w:id="1599286296">
          <w:marLeft w:val="0"/>
          <w:marRight w:val="0"/>
          <w:marTop w:val="0"/>
          <w:marBottom w:val="0"/>
          <w:divBdr>
            <w:top w:val="none" w:sz="0" w:space="0" w:color="auto"/>
            <w:left w:val="none" w:sz="0" w:space="0" w:color="auto"/>
            <w:bottom w:val="none" w:sz="0" w:space="0" w:color="auto"/>
            <w:right w:val="none" w:sz="0" w:space="0" w:color="auto"/>
          </w:divBdr>
          <w:divsChild>
            <w:div w:id="1548954259">
              <w:marLeft w:val="0"/>
              <w:marRight w:val="0"/>
              <w:marTop w:val="0"/>
              <w:marBottom w:val="0"/>
              <w:divBdr>
                <w:top w:val="none" w:sz="0" w:space="0" w:color="auto"/>
                <w:left w:val="none" w:sz="0" w:space="0" w:color="auto"/>
                <w:bottom w:val="none" w:sz="0" w:space="0" w:color="auto"/>
                <w:right w:val="none" w:sz="0" w:space="0" w:color="auto"/>
              </w:divBdr>
            </w:div>
          </w:divsChild>
        </w:div>
        <w:div w:id="1720131986">
          <w:marLeft w:val="0"/>
          <w:marRight w:val="0"/>
          <w:marTop w:val="0"/>
          <w:marBottom w:val="0"/>
          <w:divBdr>
            <w:top w:val="none" w:sz="0" w:space="0" w:color="auto"/>
            <w:left w:val="none" w:sz="0" w:space="0" w:color="auto"/>
            <w:bottom w:val="none" w:sz="0" w:space="0" w:color="auto"/>
            <w:right w:val="none" w:sz="0" w:space="0" w:color="auto"/>
          </w:divBdr>
          <w:divsChild>
            <w:div w:id="560025368">
              <w:marLeft w:val="0"/>
              <w:marRight w:val="0"/>
              <w:marTop w:val="0"/>
              <w:marBottom w:val="0"/>
              <w:divBdr>
                <w:top w:val="none" w:sz="0" w:space="0" w:color="auto"/>
                <w:left w:val="none" w:sz="0" w:space="0" w:color="auto"/>
                <w:bottom w:val="none" w:sz="0" w:space="0" w:color="auto"/>
                <w:right w:val="none" w:sz="0" w:space="0" w:color="auto"/>
              </w:divBdr>
            </w:div>
          </w:divsChild>
        </w:div>
        <w:div w:id="1501044274">
          <w:marLeft w:val="0"/>
          <w:marRight w:val="0"/>
          <w:marTop w:val="0"/>
          <w:marBottom w:val="0"/>
          <w:divBdr>
            <w:top w:val="none" w:sz="0" w:space="0" w:color="auto"/>
            <w:left w:val="none" w:sz="0" w:space="0" w:color="auto"/>
            <w:bottom w:val="none" w:sz="0" w:space="0" w:color="auto"/>
            <w:right w:val="none" w:sz="0" w:space="0" w:color="auto"/>
          </w:divBdr>
          <w:divsChild>
            <w:div w:id="1699238213">
              <w:marLeft w:val="0"/>
              <w:marRight w:val="0"/>
              <w:marTop w:val="0"/>
              <w:marBottom w:val="0"/>
              <w:divBdr>
                <w:top w:val="none" w:sz="0" w:space="0" w:color="auto"/>
                <w:left w:val="none" w:sz="0" w:space="0" w:color="auto"/>
                <w:bottom w:val="none" w:sz="0" w:space="0" w:color="auto"/>
                <w:right w:val="none" w:sz="0" w:space="0" w:color="auto"/>
              </w:divBdr>
            </w:div>
          </w:divsChild>
        </w:div>
        <w:div w:id="722410204">
          <w:marLeft w:val="0"/>
          <w:marRight w:val="0"/>
          <w:marTop w:val="0"/>
          <w:marBottom w:val="0"/>
          <w:divBdr>
            <w:top w:val="none" w:sz="0" w:space="0" w:color="auto"/>
            <w:left w:val="none" w:sz="0" w:space="0" w:color="auto"/>
            <w:bottom w:val="none" w:sz="0" w:space="0" w:color="auto"/>
            <w:right w:val="none" w:sz="0" w:space="0" w:color="auto"/>
          </w:divBdr>
          <w:divsChild>
            <w:div w:id="1653440112">
              <w:marLeft w:val="0"/>
              <w:marRight w:val="0"/>
              <w:marTop w:val="0"/>
              <w:marBottom w:val="0"/>
              <w:divBdr>
                <w:top w:val="none" w:sz="0" w:space="0" w:color="auto"/>
                <w:left w:val="none" w:sz="0" w:space="0" w:color="auto"/>
                <w:bottom w:val="none" w:sz="0" w:space="0" w:color="auto"/>
                <w:right w:val="none" w:sz="0" w:space="0" w:color="auto"/>
              </w:divBdr>
            </w:div>
          </w:divsChild>
        </w:div>
        <w:div w:id="812916391">
          <w:marLeft w:val="0"/>
          <w:marRight w:val="0"/>
          <w:marTop w:val="0"/>
          <w:marBottom w:val="0"/>
          <w:divBdr>
            <w:top w:val="none" w:sz="0" w:space="0" w:color="auto"/>
            <w:left w:val="none" w:sz="0" w:space="0" w:color="auto"/>
            <w:bottom w:val="none" w:sz="0" w:space="0" w:color="auto"/>
            <w:right w:val="none" w:sz="0" w:space="0" w:color="auto"/>
          </w:divBdr>
          <w:divsChild>
            <w:div w:id="1813326839">
              <w:marLeft w:val="0"/>
              <w:marRight w:val="0"/>
              <w:marTop w:val="0"/>
              <w:marBottom w:val="0"/>
              <w:divBdr>
                <w:top w:val="none" w:sz="0" w:space="0" w:color="auto"/>
                <w:left w:val="none" w:sz="0" w:space="0" w:color="auto"/>
                <w:bottom w:val="none" w:sz="0" w:space="0" w:color="auto"/>
                <w:right w:val="none" w:sz="0" w:space="0" w:color="auto"/>
              </w:divBdr>
            </w:div>
          </w:divsChild>
        </w:div>
        <w:div w:id="292101879">
          <w:marLeft w:val="0"/>
          <w:marRight w:val="0"/>
          <w:marTop w:val="0"/>
          <w:marBottom w:val="0"/>
          <w:divBdr>
            <w:top w:val="none" w:sz="0" w:space="0" w:color="auto"/>
            <w:left w:val="none" w:sz="0" w:space="0" w:color="auto"/>
            <w:bottom w:val="none" w:sz="0" w:space="0" w:color="auto"/>
            <w:right w:val="none" w:sz="0" w:space="0" w:color="auto"/>
          </w:divBdr>
          <w:divsChild>
            <w:div w:id="279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4508">
      <w:bodyDiv w:val="1"/>
      <w:marLeft w:val="0"/>
      <w:marRight w:val="0"/>
      <w:marTop w:val="0"/>
      <w:marBottom w:val="0"/>
      <w:divBdr>
        <w:top w:val="none" w:sz="0" w:space="0" w:color="auto"/>
        <w:left w:val="none" w:sz="0" w:space="0" w:color="auto"/>
        <w:bottom w:val="none" w:sz="0" w:space="0" w:color="auto"/>
        <w:right w:val="none" w:sz="0" w:space="0" w:color="auto"/>
      </w:divBdr>
    </w:div>
    <w:div w:id="1782801909">
      <w:bodyDiv w:val="1"/>
      <w:marLeft w:val="0"/>
      <w:marRight w:val="0"/>
      <w:marTop w:val="0"/>
      <w:marBottom w:val="0"/>
      <w:divBdr>
        <w:top w:val="none" w:sz="0" w:space="0" w:color="auto"/>
        <w:left w:val="none" w:sz="0" w:space="0" w:color="auto"/>
        <w:bottom w:val="none" w:sz="0" w:space="0" w:color="auto"/>
        <w:right w:val="none" w:sz="0" w:space="0" w:color="auto"/>
      </w:divBdr>
    </w:div>
    <w:div w:id="1786850237">
      <w:bodyDiv w:val="1"/>
      <w:marLeft w:val="0"/>
      <w:marRight w:val="0"/>
      <w:marTop w:val="0"/>
      <w:marBottom w:val="0"/>
      <w:divBdr>
        <w:top w:val="none" w:sz="0" w:space="0" w:color="auto"/>
        <w:left w:val="none" w:sz="0" w:space="0" w:color="auto"/>
        <w:bottom w:val="none" w:sz="0" w:space="0" w:color="auto"/>
        <w:right w:val="none" w:sz="0" w:space="0" w:color="auto"/>
      </w:divBdr>
    </w:div>
    <w:div w:id="1834372262">
      <w:bodyDiv w:val="1"/>
      <w:marLeft w:val="0"/>
      <w:marRight w:val="0"/>
      <w:marTop w:val="0"/>
      <w:marBottom w:val="0"/>
      <w:divBdr>
        <w:top w:val="none" w:sz="0" w:space="0" w:color="auto"/>
        <w:left w:val="none" w:sz="0" w:space="0" w:color="auto"/>
        <w:bottom w:val="none" w:sz="0" w:space="0" w:color="auto"/>
        <w:right w:val="none" w:sz="0" w:space="0" w:color="auto"/>
      </w:divBdr>
    </w:div>
    <w:div w:id="1899508055">
      <w:bodyDiv w:val="1"/>
      <w:marLeft w:val="0"/>
      <w:marRight w:val="0"/>
      <w:marTop w:val="0"/>
      <w:marBottom w:val="0"/>
      <w:divBdr>
        <w:top w:val="none" w:sz="0" w:space="0" w:color="auto"/>
        <w:left w:val="none" w:sz="0" w:space="0" w:color="auto"/>
        <w:bottom w:val="none" w:sz="0" w:space="0" w:color="auto"/>
        <w:right w:val="none" w:sz="0" w:space="0" w:color="auto"/>
      </w:divBdr>
      <w:divsChild>
        <w:div w:id="1771661655">
          <w:marLeft w:val="0"/>
          <w:marRight w:val="0"/>
          <w:marTop w:val="0"/>
          <w:marBottom w:val="0"/>
          <w:divBdr>
            <w:top w:val="none" w:sz="0" w:space="0" w:color="auto"/>
            <w:left w:val="none" w:sz="0" w:space="0" w:color="auto"/>
            <w:bottom w:val="none" w:sz="0" w:space="0" w:color="auto"/>
            <w:right w:val="none" w:sz="0" w:space="0" w:color="auto"/>
          </w:divBdr>
          <w:divsChild>
            <w:div w:id="1000542679">
              <w:marLeft w:val="0"/>
              <w:marRight w:val="0"/>
              <w:marTop w:val="0"/>
              <w:marBottom w:val="0"/>
              <w:divBdr>
                <w:top w:val="none" w:sz="0" w:space="0" w:color="auto"/>
                <w:left w:val="none" w:sz="0" w:space="0" w:color="auto"/>
                <w:bottom w:val="none" w:sz="0" w:space="0" w:color="auto"/>
                <w:right w:val="none" w:sz="0" w:space="0" w:color="auto"/>
              </w:divBdr>
            </w:div>
          </w:divsChild>
        </w:div>
        <w:div w:id="1813137464">
          <w:marLeft w:val="0"/>
          <w:marRight w:val="0"/>
          <w:marTop w:val="0"/>
          <w:marBottom w:val="0"/>
          <w:divBdr>
            <w:top w:val="none" w:sz="0" w:space="0" w:color="auto"/>
            <w:left w:val="none" w:sz="0" w:space="0" w:color="auto"/>
            <w:bottom w:val="none" w:sz="0" w:space="0" w:color="auto"/>
            <w:right w:val="none" w:sz="0" w:space="0" w:color="auto"/>
          </w:divBdr>
          <w:divsChild>
            <w:div w:id="1589345959">
              <w:marLeft w:val="0"/>
              <w:marRight w:val="0"/>
              <w:marTop w:val="0"/>
              <w:marBottom w:val="0"/>
              <w:divBdr>
                <w:top w:val="none" w:sz="0" w:space="0" w:color="auto"/>
                <w:left w:val="none" w:sz="0" w:space="0" w:color="auto"/>
                <w:bottom w:val="none" w:sz="0" w:space="0" w:color="auto"/>
                <w:right w:val="none" w:sz="0" w:space="0" w:color="auto"/>
              </w:divBdr>
            </w:div>
          </w:divsChild>
        </w:div>
        <w:div w:id="39792376">
          <w:marLeft w:val="0"/>
          <w:marRight w:val="0"/>
          <w:marTop w:val="0"/>
          <w:marBottom w:val="0"/>
          <w:divBdr>
            <w:top w:val="none" w:sz="0" w:space="0" w:color="auto"/>
            <w:left w:val="none" w:sz="0" w:space="0" w:color="auto"/>
            <w:bottom w:val="none" w:sz="0" w:space="0" w:color="auto"/>
            <w:right w:val="none" w:sz="0" w:space="0" w:color="auto"/>
          </w:divBdr>
          <w:divsChild>
            <w:div w:id="1006247865">
              <w:marLeft w:val="0"/>
              <w:marRight w:val="0"/>
              <w:marTop w:val="0"/>
              <w:marBottom w:val="0"/>
              <w:divBdr>
                <w:top w:val="none" w:sz="0" w:space="0" w:color="auto"/>
                <w:left w:val="none" w:sz="0" w:space="0" w:color="auto"/>
                <w:bottom w:val="none" w:sz="0" w:space="0" w:color="auto"/>
                <w:right w:val="none" w:sz="0" w:space="0" w:color="auto"/>
              </w:divBdr>
            </w:div>
          </w:divsChild>
        </w:div>
        <w:div w:id="2637216">
          <w:marLeft w:val="0"/>
          <w:marRight w:val="0"/>
          <w:marTop w:val="0"/>
          <w:marBottom w:val="0"/>
          <w:divBdr>
            <w:top w:val="none" w:sz="0" w:space="0" w:color="auto"/>
            <w:left w:val="none" w:sz="0" w:space="0" w:color="auto"/>
            <w:bottom w:val="none" w:sz="0" w:space="0" w:color="auto"/>
            <w:right w:val="none" w:sz="0" w:space="0" w:color="auto"/>
          </w:divBdr>
          <w:divsChild>
            <w:div w:id="1703552756">
              <w:marLeft w:val="0"/>
              <w:marRight w:val="0"/>
              <w:marTop w:val="0"/>
              <w:marBottom w:val="0"/>
              <w:divBdr>
                <w:top w:val="none" w:sz="0" w:space="0" w:color="auto"/>
                <w:left w:val="none" w:sz="0" w:space="0" w:color="auto"/>
                <w:bottom w:val="none" w:sz="0" w:space="0" w:color="auto"/>
                <w:right w:val="none" w:sz="0" w:space="0" w:color="auto"/>
              </w:divBdr>
            </w:div>
          </w:divsChild>
        </w:div>
        <w:div w:id="1826389706">
          <w:marLeft w:val="0"/>
          <w:marRight w:val="0"/>
          <w:marTop w:val="0"/>
          <w:marBottom w:val="0"/>
          <w:divBdr>
            <w:top w:val="none" w:sz="0" w:space="0" w:color="auto"/>
            <w:left w:val="none" w:sz="0" w:space="0" w:color="auto"/>
            <w:bottom w:val="none" w:sz="0" w:space="0" w:color="auto"/>
            <w:right w:val="none" w:sz="0" w:space="0" w:color="auto"/>
          </w:divBdr>
          <w:divsChild>
            <w:div w:id="1264459918">
              <w:marLeft w:val="0"/>
              <w:marRight w:val="0"/>
              <w:marTop w:val="0"/>
              <w:marBottom w:val="0"/>
              <w:divBdr>
                <w:top w:val="none" w:sz="0" w:space="0" w:color="auto"/>
                <w:left w:val="none" w:sz="0" w:space="0" w:color="auto"/>
                <w:bottom w:val="none" w:sz="0" w:space="0" w:color="auto"/>
                <w:right w:val="none" w:sz="0" w:space="0" w:color="auto"/>
              </w:divBdr>
            </w:div>
          </w:divsChild>
        </w:div>
        <w:div w:id="1258248335">
          <w:marLeft w:val="0"/>
          <w:marRight w:val="0"/>
          <w:marTop w:val="0"/>
          <w:marBottom w:val="0"/>
          <w:divBdr>
            <w:top w:val="none" w:sz="0" w:space="0" w:color="auto"/>
            <w:left w:val="none" w:sz="0" w:space="0" w:color="auto"/>
            <w:bottom w:val="none" w:sz="0" w:space="0" w:color="auto"/>
            <w:right w:val="none" w:sz="0" w:space="0" w:color="auto"/>
          </w:divBdr>
          <w:divsChild>
            <w:div w:id="812406592">
              <w:marLeft w:val="0"/>
              <w:marRight w:val="0"/>
              <w:marTop w:val="0"/>
              <w:marBottom w:val="0"/>
              <w:divBdr>
                <w:top w:val="none" w:sz="0" w:space="0" w:color="auto"/>
                <w:left w:val="none" w:sz="0" w:space="0" w:color="auto"/>
                <w:bottom w:val="none" w:sz="0" w:space="0" w:color="auto"/>
                <w:right w:val="none" w:sz="0" w:space="0" w:color="auto"/>
              </w:divBdr>
            </w:div>
          </w:divsChild>
        </w:div>
        <w:div w:id="1065106916">
          <w:marLeft w:val="0"/>
          <w:marRight w:val="0"/>
          <w:marTop w:val="0"/>
          <w:marBottom w:val="0"/>
          <w:divBdr>
            <w:top w:val="none" w:sz="0" w:space="0" w:color="auto"/>
            <w:left w:val="none" w:sz="0" w:space="0" w:color="auto"/>
            <w:bottom w:val="none" w:sz="0" w:space="0" w:color="auto"/>
            <w:right w:val="none" w:sz="0" w:space="0" w:color="auto"/>
          </w:divBdr>
          <w:divsChild>
            <w:div w:id="284623103">
              <w:marLeft w:val="0"/>
              <w:marRight w:val="0"/>
              <w:marTop w:val="0"/>
              <w:marBottom w:val="0"/>
              <w:divBdr>
                <w:top w:val="none" w:sz="0" w:space="0" w:color="auto"/>
                <w:left w:val="none" w:sz="0" w:space="0" w:color="auto"/>
                <w:bottom w:val="none" w:sz="0" w:space="0" w:color="auto"/>
                <w:right w:val="none" w:sz="0" w:space="0" w:color="auto"/>
              </w:divBdr>
            </w:div>
          </w:divsChild>
        </w:div>
        <w:div w:id="1915774608">
          <w:marLeft w:val="0"/>
          <w:marRight w:val="0"/>
          <w:marTop w:val="0"/>
          <w:marBottom w:val="0"/>
          <w:divBdr>
            <w:top w:val="none" w:sz="0" w:space="0" w:color="auto"/>
            <w:left w:val="none" w:sz="0" w:space="0" w:color="auto"/>
            <w:bottom w:val="none" w:sz="0" w:space="0" w:color="auto"/>
            <w:right w:val="none" w:sz="0" w:space="0" w:color="auto"/>
          </w:divBdr>
          <w:divsChild>
            <w:div w:id="2824740">
              <w:marLeft w:val="0"/>
              <w:marRight w:val="0"/>
              <w:marTop w:val="0"/>
              <w:marBottom w:val="0"/>
              <w:divBdr>
                <w:top w:val="none" w:sz="0" w:space="0" w:color="auto"/>
                <w:left w:val="none" w:sz="0" w:space="0" w:color="auto"/>
                <w:bottom w:val="none" w:sz="0" w:space="0" w:color="auto"/>
                <w:right w:val="none" w:sz="0" w:space="0" w:color="auto"/>
              </w:divBdr>
            </w:div>
          </w:divsChild>
        </w:div>
        <w:div w:id="781605280">
          <w:marLeft w:val="0"/>
          <w:marRight w:val="0"/>
          <w:marTop w:val="0"/>
          <w:marBottom w:val="0"/>
          <w:divBdr>
            <w:top w:val="none" w:sz="0" w:space="0" w:color="auto"/>
            <w:left w:val="none" w:sz="0" w:space="0" w:color="auto"/>
            <w:bottom w:val="none" w:sz="0" w:space="0" w:color="auto"/>
            <w:right w:val="none" w:sz="0" w:space="0" w:color="auto"/>
          </w:divBdr>
          <w:divsChild>
            <w:div w:id="1425960428">
              <w:marLeft w:val="0"/>
              <w:marRight w:val="0"/>
              <w:marTop w:val="0"/>
              <w:marBottom w:val="0"/>
              <w:divBdr>
                <w:top w:val="none" w:sz="0" w:space="0" w:color="auto"/>
                <w:left w:val="none" w:sz="0" w:space="0" w:color="auto"/>
                <w:bottom w:val="none" w:sz="0" w:space="0" w:color="auto"/>
                <w:right w:val="none" w:sz="0" w:space="0" w:color="auto"/>
              </w:divBdr>
            </w:div>
          </w:divsChild>
        </w:div>
        <w:div w:id="1464038746">
          <w:marLeft w:val="0"/>
          <w:marRight w:val="0"/>
          <w:marTop w:val="0"/>
          <w:marBottom w:val="0"/>
          <w:divBdr>
            <w:top w:val="none" w:sz="0" w:space="0" w:color="auto"/>
            <w:left w:val="none" w:sz="0" w:space="0" w:color="auto"/>
            <w:bottom w:val="none" w:sz="0" w:space="0" w:color="auto"/>
            <w:right w:val="none" w:sz="0" w:space="0" w:color="auto"/>
          </w:divBdr>
          <w:divsChild>
            <w:div w:id="2081246562">
              <w:marLeft w:val="0"/>
              <w:marRight w:val="0"/>
              <w:marTop w:val="0"/>
              <w:marBottom w:val="0"/>
              <w:divBdr>
                <w:top w:val="none" w:sz="0" w:space="0" w:color="auto"/>
                <w:left w:val="none" w:sz="0" w:space="0" w:color="auto"/>
                <w:bottom w:val="none" w:sz="0" w:space="0" w:color="auto"/>
                <w:right w:val="none" w:sz="0" w:space="0" w:color="auto"/>
              </w:divBdr>
            </w:div>
          </w:divsChild>
        </w:div>
        <w:div w:id="179007593">
          <w:marLeft w:val="0"/>
          <w:marRight w:val="0"/>
          <w:marTop w:val="0"/>
          <w:marBottom w:val="0"/>
          <w:divBdr>
            <w:top w:val="none" w:sz="0" w:space="0" w:color="auto"/>
            <w:left w:val="none" w:sz="0" w:space="0" w:color="auto"/>
            <w:bottom w:val="none" w:sz="0" w:space="0" w:color="auto"/>
            <w:right w:val="none" w:sz="0" w:space="0" w:color="auto"/>
          </w:divBdr>
          <w:divsChild>
            <w:div w:id="887226555">
              <w:marLeft w:val="0"/>
              <w:marRight w:val="0"/>
              <w:marTop w:val="0"/>
              <w:marBottom w:val="0"/>
              <w:divBdr>
                <w:top w:val="none" w:sz="0" w:space="0" w:color="auto"/>
                <w:left w:val="none" w:sz="0" w:space="0" w:color="auto"/>
                <w:bottom w:val="none" w:sz="0" w:space="0" w:color="auto"/>
                <w:right w:val="none" w:sz="0" w:space="0" w:color="auto"/>
              </w:divBdr>
            </w:div>
          </w:divsChild>
        </w:div>
        <w:div w:id="1934196508">
          <w:marLeft w:val="0"/>
          <w:marRight w:val="0"/>
          <w:marTop w:val="0"/>
          <w:marBottom w:val="0"/>
          <w:divBdr>
            <w:top w:val="none" w:sz="0" w:space="0" w:color="auto"/>
            <w:left w:val="none" w:sz="0" w:space="0" w:color="auto"/>
            <w:bottom w:val="none" w:sz="0" w:space="0" w:color="auto"/>
            <w:right w:val="none" w:sz="0" w:space="0" w:color="auto"/>
          </w:divBdr>
          <w:divsChild>
            <w:div w:id="271015715">
              <w:marLeft w:val="0"/>
              <w:marRight w:val="0"/>
              <w:marTop w:val="0"/>
              <w:marBottom w:val="0"/>
              <w:divBdr>
                <w:top w:val="none" w:sz="0" w:space="0" w:color="auto"/>
                <w:left w:val="none" w:sz="0" w:space="0" w:color="auto"/>
                <w:bottom w:val="none" w:sz="0" w:space="0" w:color="auto"/>
                <w:right w:val="none" w:sz="0" w:space="0" w:color="auto"/>
              </w:divBdr>
            </w:div>
          </w:divsChild>
        </w:div>
        <w:div w:id="915020860">
          <w:marLeft w:val="0"/>
          <w:marRight w:val="0"/>
          <w:marTop w:val="0"/>
          <w:marBottom w:val="0"/>
          <w:divBdr>
            <w:top w:val="none" w:sz="0" w:space="0" w:color="auto"/>
            <w:left w:val="none" w:sz="0" w:space="0" w:color="auto"/>
            <w:bottom w:val="none" w:sz="0" w:space="0" w:color="auto"/>
            <w:right w:val="none" w:sz="0" w:space="0" w:color="auto"/>
          </w:divBdr>
          <w:divsChild>
            <w:div w:id="1960604818">
              <w:marLeft w:val="0"/>
              <w:marRight w:val="0"/>
              <w:marTop w:val="0"/>
              <w:marBottom w:val="0"/>
              <w:divBdr>
                <w:top w:val="none" w:sz="0" w:space="0" w:color="auto"/>
                <w:left w:val="none" w:sz="0" w:space="0" w:color="auto"/>
                <w:bottom w:val="none" w:sz="0" w:space="0" w:color="auto"/>
                <w:right w:val="none" w:sz="0" w:space="0" w:color="auto"/>
              </w:divBdr>
            </w:div>
          </w:divsChild>
        </w:div>
        <w:div w:id="1989364125">
          <w:marLeft w:val="0"/>
          <w:marRight w:val="0"/>
          <w:marTop w:val="0"/>
          <w:marBottom w:val="0"/>
          <w:divBdr>
            <w:top w:val="none" w:sz="0" w:space="0" w:color="auto"/>
            <w:left w:val="none" w:sz="0" w:space="0" w:color="auto"/>
            <w:bottom w:val="none" w:sz="0" w:space="0" w:color="auto"/>
            <w:right w:val="none" w:sz="0" w:space="0" w:color="auto"/>
          </w:divBdr>
          <w:divsChild>
            <w:div w:id="789053860">
              <w:marLeft w:val="0"/>
              <w:marRight w:val="0"/>
              <w:marTop w:val="0"/>
              <w:marBottom w:val="0"/>
              <w:divBdr>
                <w:top w:val="none" w:sz="0" w:space="0" w:color="auto"/>
                <w:left w:val="none" w:sz="0" w:space="0" w:color="auto"/>
                <w:bottom w:val="none" w:sz="0" w:space="0" w:color="auto"/>
                <w:right w:val="none" w:sz="0" w:space="0" w:color="auto"/>
              </w:divBdr>
            </w:div>
          </w:divsChild>
        </w:div>
        <w:div w:id="105467135">
          <w:marLeft w:val="0"/>
          <w:marRight w:val="0"/>
          <w:marTop w:val="0"/>
          <w:marBottom w:val="0"/>
          <w:divBdr>
            <w:top w:val="none" w:sz="0" w:space="0" w:color="auto"/>
            <w:left w:val="none" w:sz="0" w:space="0" w:color="auto"/>
            <w:bottom w:val="none" w:sz="0" w:space="0" w:color="auto"/>
            <w:right w:val="none" w:sz="0" w:space="0" w:color="auto"/>
          </w:divBdr>
          <w:divsChild>
            <w:div w:id="534192731">
              <w:marLeft w:val="0"/>
              <w:marRight w:val="0"/>
              <w:marTop w:val="0"/>
              <w:marBottom w:val="0"/>
              <w:divBdr>
                <w:top w:val="none" w:sz="0" w:space="0" w:color="auto"/>
                <w:left w:val="none" w:sz="0" w:space="0" w:color="auto"/>
                <w:bottom w:val="none" w:sz="0" w:space="0" w:color="auto"/>
                <w:right w:val="none" w:sz="0" w:space="0" w:color="auto"/>
              </w:divBdr>
            </w:div>
          </w:divsChild>
        </w:div>
        <w:div w:id="1663703342">
          <w:marLeft w:val="0"/>
          <w:marRight w:val="0"/>
          <w:marTop w:val="0"/>
          <w:marBottom w:val="0"/>
          <w:divBdr>
            <w:top w:val="none" w:sz="0" w:space="0" w:color="auto"/>
            <w:left w:val="none" w:sz="0" w:space="0" w:color="auto"/>
            <w:bottom w:val="none" w:sz="0" w:space="0" w:color="auto"/>
            <w:right w:val="none" w:sz="0" w:space="0" w:color="auto"/>
          </w:divBdr>
          <w:divsChild>
            <w:div w:id="1811556381">
              <w:marLeft w:val="0"/>
              <w:marRight w:val="0"/>
              <w:marTop w:val="0"/>
              <w:marBottom w:val="0"/>
              <w:divBdr>
                <w:top w:val="none" w:sz="0" w:space="0" w:color="auto"/>
                <w:left w:val="none" w:sz="0" w:space="0" w:color="auto"/>
                <w:bottom w:val="none" w:sz="0" w:space="0" w:color="auto"/>
                <w:right w:val="none" w:sz="0" w:space="0" w:color="auto"/>
              </w:divBdr>
            </w:div>
          </w:divsChild>
        </w:div>
        <w:div w:id="305864214">
          <w:marLeft w:val="0"/>
          <w:marRight w:val="0"/>
          <w:marTop w:val="0"/>
          <w:marBottom w:val="0"/>
          <w:divBdr>
            <w:top w:val="none" w:sz="0" w:space="0" w:color="auto"/>
            <w:left w:val="none" w:sz="0" w:space="0" w:color="auto"/>
            <w:bottom w:val="none" w:sz="0" w:space="0" w:color="auto"/>
            <w:right w:val="none" w:sz="0" w:space="0" w:color="auto"/>
          </w:divBdr>
          <w:divsChild>
            <w:div w:id="246614784">
              <w:marLeft w:val="0"/>
              <w:marRight w:val="0"/>
              <w:marTop w:val="0"/>
              <w:marBottom w:val="0"/>
              <w:divBdr>
                <w:top w:val="none" w:sz="0" w:space="0" w:color="auto"/>
                <w:left w:val="none" w:sz="0" w:space="0" w:color="auto"/>
                <w:bottom w:val="none" w:sz="0" w:space="0" w:color="auto"/>
                <w:right w:val="none" w:sz="0" w:space="0" w:color="auto"/>
              </w:divBdr>
            </w:div>
          </w:divsChild>
        </w:div>
        <w:div w:id="598103079">
          <w:marLeft w:val="0"/>
          <w:marRight w:val="0"/>
          <w:marTop w:val="0"/>
          <w:marBottom w:val="0"/>
          <w:divBdr>
            <w:top w:val="none" w:sz="0" w:space="0" w:color="auto"/>
            <w:left w:val="none" w:sz="0" w:space="0" w:color="auto"/>
            <w:bottom w:val="none" w:sz="0" w:space="0" w:color="auto"/>
            <w:right w:val="none" w:sz="0" w:space="0" w:color="auto"/>
          </w:divBdr>
          <w:divsChild>
            <w:div w:id="1320688860">
              <w:marLeft w:val="0"/>
              <w:marRight w:val="0"/>
              <w:marTop w:val="0"/>
              <w:marBottom w:val="0"/>
              <w:divBdr>
                <w:top w:val="none" w:sz="0" w:space="0" w:color="auto"/>
                <w:left w:val="none" w:sz="0" w:space="0" w:color="auto"/>
                <w:bottom w:val="none" w:sz="0" w:space="0" w:color="auto"/>
                <w:right w:val="none" w:sz="0" w:space="0" w:color="auto"/>
              </w:divBdr>
            </w:div>
          </w:divsChild>
        </w:div>
        <w:div w:id="975060592">
          <w:marLeft w:val="0"/>
          <w:marRight w:val="0"/>
          <w:marTop w:val="0"/>
          <w:marBottom w:val="0"/>
          <w:divBdr>
            <w:top w:val="none" w:sz="0" w:space="0" w:color="auto"/>
            <w:left w:val="none" w:sz="0" w:space="0" w:color="auto"/>
            <w:bottom w:val="none" w:sz="0" w:space="0" w:color="auto"/>
            <w:right w:val="none" w:sz="0" w:space="0" w:color="auto"/>
          </w:divBdr>
          <w:divsChild>
            <w:div w:id="129128913">
              <w:marLeft w:val="0"/>
              <w:marRight w:val="0"/>
              <w:marTop w:val="0"/>
              <w:marBottom w:val="0"/>
              <w:divBdr>
                <w:top w:val="none" w:sz="0" w:space="0" w:color="auto"/>
                <w:left w:val="none" w:sz="0" w:space="0" w:color="auto"/>
                <w:bottom w:val="none" w:sz="0" w:space="0" w:color="auto"/>
                <w:right w:val="none" w:sz="0" w:space="0" w:color="auto"/>
              </w:divBdr>
            </w:div>
          </w:divsChild>
        </w:div>
        <w:div w:id="527379711">
          <w:marLeft w:val="0"/>
          <w:marRight w:val="0"/>
          <w:marTop w:val="0"/>
          <w:marBottom w:val="0"/>
          <w:divBdr>
            <w:top w:val="none" w:sz="0" w:space="0" w:color="auto"/>
            <w:left w:val="none" w:sz="0" w:space="0" w:color="auto"/>
            <w:bottom w:val="none" w:sz="0" w:space="0" w:color="auto"/>
            <w:right w:val="none" w:sz="0" w:space="0" w:color="auto"/>
          </w:divBdr>
          <w:divsChild>
            <w:div w:id="1763379815">
              <w:marLeft w:val="0"/>
              <w:marRight w:val="0"/>
              <w:marTop w:val="0"/>
              <w:marBottom w:val="0"/>
              <w:divBdr>
                <w:top w:val="none" w:sz="0" w:space="0" w:color="auto"/>
                <w:left w:val="none" w:sz="0" w:space="0" w:color="auto"/>
                <w:bottom w:val="none" w:sz="0" w:space="0" w:color="auto"/>
                <w:right w:val="none" w:sz="0" w:space="0" w:color="auto"/>
              </w:divBdr>
            </w:div>
          </w:divsChild>
        </w:div>
        <w:div w:id="931476213">
          <w:marLeft w:val="0"/>
          <w:marRight w:val="0"/>
          <w:marTop w:val="0"/>
          <w:marBottom w:val="0"/>
          <w:divBdr>
            <w:top w:val="none" w:sz="0" w:space="0" w:color="auto"/>
            <w:left w:val="none" w:sz="0" w:space="0" w:color="auto"/>
            <w:bottom w:val="none" w:sz="0" w:space="0" w:color="auto"/>
            <w:right w:val="none" w:sz="0" w:space="0" w:color="auto"/>
          </w:divBdr>
          <w:divsChild>
            <w:div w:id="14653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0047">
      <w:bodyDiv w:val="1"/>
      <w:marLeft w:val="0"/>
      <w:marRight w:val="0"/>
      <w:marTop w:val="0"/>
      <w:marBottom w:val="0"/>
      <w:divBdr>
        <w:top w:val="none" w:sz="0" w:space="0" w:color="auto"/>
        <w:left w:val="none" w:sz="0" w:space="0" w:color="auto"/>
        <w:bottom w:val="none" w:sz="0" w:space="0" w:color="auto"/>
        <w:right w:val="none" w:sz="0" w:space="0" w:color="auto"/>
      </w:divBdr>
    </w:div>
    <w:div w:id="1964655403">
      <w:bodyDiv w:val="1"/>
      <w:marLeft w:val="0"/>
      <w:marRight w:val="0"/>
      <w:marTop w:val="0"/>
      <w:marBottom w:val="0"/>
      <w:divBdr>
        <w:top w:val="none" w:sz="0" w:space="0" w:color="auto"/>
        <w:left w:val="none" w:sz="0" w:space="0" w:color="auto"/>
        <w:bottom w:val="none" w:sz="0" w:space="0" w:color="auto"/>
        <w:right w:val="none" w:sz="0" w:space="0" w:color="auto"/>
      </w:divBdr>
    </w:div>
    <w:div w:id="2059237393">
      <w:bodyDiv w:val="1"/>
      <w:marLeft w:val="0"/>
      <w:marRight w:val="0"/>
      <w:marTop w:val="0"/>
      <w:marBottom w:val="0"/>
      <w:divBdr>
        <w:top w:val="none" w:sz="0" w:space="0" w:color="auto"/>
        <w:left w:val="none" w:sz="0" w:space="0" w:color="auto"/>
        <w:bottom w:val="none" w:sz="0" w:space="0" w:color="auto"/>
        <w:right w:val="none" w:sz="0" w:space="0" w:color="auto"/>
      </w:divBdr>
    </w:div>
    <w:div w:id="2069839062">
      <w:bodyDiv w:val="1"/>
      <w:marLeft w:val="0"/>
      <w:marRight w:val="0"/>
      <w:marTop w:val="0"/>
      <w:marBottom w:val="0"/>
      <w:divBdr>
        <w:top w:val="none" w:sz="0" w:space="0" w:color="auto"/>
        <w:left w:val="none" w:sz="0" w:space="0" w:color="auto"/>
        <w:bottom w:val="none" w:sz="0" w:space="0" w:color="auto"/>
        <w:right w:val="none" w:sz="0" w:space="0" w:color="auto"/>
      </w:divBdr>
    </w:div>
    <w:div w:id="2100561222">
      <w:bodyDiv w:val="1"/>
      <w:marLeft w:val="0"/>
      <w:marRight w:val="0"/>
      <w:marTop w:val="0"/>
      <w:marBottom w:val="0"/>
      <w:divBdr>
        <w:top w:val="none" w:sz="0" w:space="0" w:color="auto"/>
        <w:left w:val="none" w:sz="0" w:space="0" w:color="auto"/>
        <w:bottom w:val="none" w:sz="0" w:space="0" w:color="auto"/>
        <w:right w:val="none" w:sz="0" w:space="0" w:color="auto"/>
      </w:divBdr>
    </w:div>
    <w:div w:id="210444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3.xml"/><Relationship Id="rId47" Type="http://schemas.openxmlformats.org/officeDocument/2006/relationships/hyperlink" Target="https://www.gonortheast.co.uk/services/GNE/58" TargetMode="External"/><Relationship Id="rId50" Type="http://schemas.openxmlformats.org/officeDocument/2006/relationships/hyperlink" Target="https://www.gov.uk/government/publications/greenhouse-gas-reporting-conversion-factors-2024" TargetMode="Externa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11.xml"/><Relationship Id="rId11" Type="http://schemas.openxmlformats.org/officeDocument/2006/relationships/endnotes" Target="end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6.xml"/><Relationship Id="rId53" Type="http://schemas.openxmlformats.org/officeDocument/2006/relationships/footer" Target="footer7.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5.xm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4.xml"/><Relationship Id="rId48" Type="http://schemas.openxmlformats.org/officeDocument/2006/relationships/hyperlink" Target="https://www.stagecoachbus.com/routes/north-east/30/fenham-fawdon-montagu-estate-or-city-centre/XMAO030.O" TargetMode="Externa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s://www.gonortheast.co.uk/services/GNE/21" TargetMode="External"/><Relationship Id="rId20" Type="http://schemas.openxmlformats.org/officeDocument/2006/relationships/chart" Target="charts/chart2.xml"/><Relationship Id="rId41" Type="http://schemas.openxmlformats.org/officeDocument/2006/relationships/footer" Target="footer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www.zap-map.com/ev-stats/charging-utilisation-stat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gov.uk/government/calls-for-evidence/integrated-national-transport-strategy-a-call-for-ideas" TargetMode="External"/><Relationship Id="rId18" Type="http://schemas.openxmlformats.org/officeDocument/2006/relationships/hyperlink" Target="https://www.gov.uk/government/publications/the-ten-point-plan-for-a-green-industrial-revolution" TargetMode="External"/><Relationship Id="rId26" Type="http://schemas.openxmlformats.org/officeDocument/2006/relationships/hyperlink" Target="https://www.northeast-ca.gov.uk/how-we-work/transport/rail-and-metro-strategy" TargetMode="External"/><Relationship Id="rId3" Type="http://schemas.openxmlformats.org/officeDocument/2006/relationships/hyperlink" Target="https://www.ons.gov.uk/peoplepopulationandcommunity/populationandmigration/populationestimates/datasets/lowersuperoutputareamidyearpopulationestimatesnationalstatistics" TargetMode="External"/><Relationship Id="rId21" Type="http://schemas.openxmlformats.org/officeDocument/2006/relationships/hyperlink" Target="https://www.northeast-ca.gov.uk/projects/go-ultra-low-north-east" TargetMode="External"/><Relationship Id="rId7" Type="http://schemas.openxmlformats.org/officeDocument/2006/relationships/hyperlink" Target="https://roadtraffic.dft.gov.uk/manualcountpoints/47526" TargetMode="External"/><Relationship Id="rId12" Type="http://schemas.openxmlformats.org/officeDocument/2006/relationships/hyperlink" Target="https://www.zap-map.com/ev-stats/charging-utilisation-stats" TargetMode="External"/><Relationship Id="rId17" Type="http://schemas.openxmlformats.org/officeDocument/2006/relationships/hyperlink" Target="https://assets.publishing.service.gov.uk/media/6194dfa4d3bf7f0555071b1b/net-zero-strategy-beis.pdf" TargetMode="External"/><Relationship Id="rId25" Type="http://schemas.openxmlformats.org/officeDocument/2006/relationships/hyperlink" Target="https://www.northeast-ca.gov.uk/how-we-work/transport/zero-emission-vehicle-strategy" TargetMode="External"/><Relationship Id="rId33" Type="http://schemas.openxmlformats.org/officeDocument/2006/relationships/hyperlink" Target="https://newcastle.gov.uk/sites/default/files/Finance/20240321_Council-Plan.pdf" TargetMode="External"/><Relationship Id="rId2" Type="http://schemas.openxmlformats.org/officeDocument/2006/relationships/hyperlink" Target="https://www.ons.gov.uk/visualisations/censuspopulationchange/E08000021/" TargetMode="External"/><Relationship Id="rId16" Type="http://schemas.openxmlformats.org/officeDocument/2006/relationships/hyperlink" Target="https://committees.parliament.uk/committee/153/transport-committee/news/208594/joinedup-journeys-mps-to-investigate-how-integrated-transport-can-be-achieved-and-measured/" TargetMode="External"/><Relationship Id="rId20" Type="http://schemas.openxmlformats.org/officeDocument/2006/relationships/hyperlink" Target="https://www.northeast-ca.gov.uk/local-growth-plan" TargetMode="External"/><Relationship Id="rId29" Type="http://schemas.openxmlformats.org/officeDocument/2006/relationships/hyperlink" Target="https://newcastle.gov.uk/sites/default/files/planning/GI/Part%202%20Main%20Report%20FINALv2%20(1).pdf" TargetMode="External"/><Relationship Id="rId1" Type="http://schemas.openxmlformats.org/officeDocument/2006/relationships/hyperlink" Target="https://newcastle.gov.uk/sites/default/files/Finance/20240321_Council-Plan.pdf" TargetMode="External"/><Relationship Id="rId6" Type="http://schemas.openxmlformats.org/officeDocument/2006/relationships/hyperlink" Target="https://laqm.defra.gov.uk/air-quality/air-quality-assessment/emissions-factors-toolkit/" TargetMode="External"/><Relationship Id="rId11" Type="http://schemas.openxmlformats.org/officeDocument/2006/relationships/hyperlink" Target="https://www.sciencedirect.com/science/article/pii/S0965856420307291" TargetMode="External"/><Relationship Id="rId24" Type="http://schemas.openxmlformats.org/officeDocument/2006/relationships/hyperlink" Target="https://www.northeast-ca.gov.uk/how-we-work/transport/bus-service-improvement-plan" TargetMode="External"/><Relationship Id="rId32" Type="http://schemas.openxmlformats.org/officeDocument/2006/relationships/hyperlink" Target="https://www.newcastle.gov.uk/sites/default/files/HEALTH%20AND%20WELLBEING%20STRATEGY%20FINAL%20MARCH%202023.pdf" TargetMode="External"/><Relationship Id="rId5" Type="http://schemas.openxmlformats.org/officeDocument/2006/relationships/hyperlink" Target="https://fingertips.phe.org.uk/static-reports/public-health-outcomes-framework/at-a-glance/E08000021.html?area-name=Newcastle%20upon%20Tyne" TargetMode="External"/><Relationship Id="rId15" Type="http://schemas.openxmlformats.org/officeDocument/2006/relationships/hyperlink" Target="https://www.gov.uk/government/news/transport-minister-kicks-off-regional-tour-with-communities-to-shape-the-future-of-integrated-transport" TargetMode="External"/><Relationship Id="rId23" Type="http://schemas.openxmlformats.org/officeDocument/2006/relationships/hyperlink" Target="https://www.northeast-ca.gov.uk/how-we-work/transport/making-the-right-travel-choice" TargetMode="External"/><Relationship Id="rId28" Type="http://schemas.openxmlformats.org/officeDocument/2006/relationships/hyperlink" Target="https://new.newcastle.gov.uk/travel/improvements/movement" TargetMode="External"/><Relationship Id="rId10" Type="http://schemas.openxmlformats.org/officeDocument/2006/relationships/hyperlink" Target="https://cdn.prod.website-files.com/6102564995f71c83fba14d54/6645d8ccf0f74f6e2b38382e_CoMoUK%20Car%252&#8230;" TargetMode="External"/><Relationship Id="rId19" Type="http://schemas.openxmlformats.org/officeDocument/2006/relationships/hyperlink" Target="https://www.northeast-ca.gov.uk/how-we-work/transport/transport-plan" TargetMode="External"/><Relationship Id="rId31" Type="http://schemas.openxmlformats.org/officeDocument/2006/relationships/hyperlink" Target="https://newcastle.gov.uk/sites/default/files/Smoke%20Control%20Area%20and%20Solid%20Fuel%20Enforcement%20Policy_0.pdf" TargetMode="External"/><Relationship Id="rId4" Type="http://schemas.openxmlformats.org/officeDocument/2006/relationships/hyperlink" Target="https://www.gov.uk/government/publications/air-pollution-applying-all-our-health/air-pollution-applying-all-our-health" TargetMode="External"/><Relationship Id="rId9" Type="http://schemas.openxmlformats.org/officeDocument/2006/relationships/hyperlink" Target="https://laqm.defra.gov.uk/air-quality/featured/uk-regions-exc-london-technical-guidance/" TargetMode="External"/><Relationship Id="rId14" Type="http://schemas.openxmlformats.org/officeDocument/2006/relationships/hyperlink" Target="https://www.gov.uk/government/calls-for-evidence/integrated-national-transport-strategy-a-call-for-ideas/integrated-national-transport-strategy-a-call-for-ideas" TargetMode="External"/><Relationship Id="rId22" Type="http://schemas.openxmlformats.org/officeDocument/2006/relationships/hyperlink" Target="https://www.northeast-ca.gov.uk/how-we-work/transport/active-travel-strategy" TargetMode="External"/><Relationship Id="rId27" Type="http://schemas.openxmlformats.org/officeDocument/2006/relationships/hyperlink" Target="https://newcastle.gov.uk/newcastleplan" TargetMode="External"/><Relationship Id="rId30" Type="http://schemas.openxmlformats.org/officeDocument/2006/relationships/hyperlink" Target="https://new.newcastle.gov.uk/climate-change-and-net-zero/our-mission/net-zero-newcastle-2030-action-plan" TargetMode="External"/><Relationship Id="rId8" Type="http://schemas.openxmlformats.org/officeDocument/2006/relationships/hyperlink" Target="https://www.gov.uk/government/publications/tempro-downloa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500_Deliverables\502_Deliverable_AQAP\Graphs_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500_Deliverables\502_Deliverable_AQAP\Graphs_v2.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2_TechnicalArea_JAQU\Source%20Apportionment\Source%20apportionment%20v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TEMPro%20future%20baselining\future%20baselining%20v0.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Euro%20Class%20Future%20Projection%20v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Euro%20Class%20Future%20Projection%20v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Euro%20Class%20Future%20Projection%20v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Euro%20Class%20Future%20Projection%20v0.1.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500_Deliverables\502_Deliverable_AQAP\Graphs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a.aecomnet.com\lfs\EMEA\Leeds-UKLDS2\DCS\Projects\EGE\60748918_Newcastle_AQAP_JAQU\400_Technical\433_TechnicalArea_AQAP\ANPR%20vs%20EF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'Summarised trend NO2'!$I$3</c:f>
              <c:strCache>
                <c:ptCount val="1"/>
                <c:pt idx="0">
                  <c:v>Newcastle Urban Background</c:v>
                </c:pt>
              </c:strCache>
            </c:strRef>
          </c:tx>
          <c:spPr>
            <a:ln w="28575" cap="rnd">
              <a:solidFill>
                <a:schemeClr val="accent6">
                  <a:lumMod val="60000"/>
                  <a:lumOff val="40000"/>
                </a:schemeClr>
              </a:solidFill>
              <a:round/>
            </a:ln>
            <a:effectLst/>
          </c:spPr>
          <c:marker>
            <c:symbol val="none"/>
          </c:marker>
          <c:cat>
            <c:numRef>
              <c:f>'Summarised trend NO2'!$J$2:$O$2</c:f>
              <c:numCache>
                <c:formatCode>General</c:formatCode>
                <c:ptCount val="6"/>
                <c:pt idx="0">
                  <c:v>2019</c:v>
                </c:pt>
                <c:pt idx="1">
                  <c:v>2020</c:v>
                </c:pt>
                <c:pt idx="2">
                  <c:v>2021</c:v>
                </c:pt>
                <c:pt idx="3">
                  <c:v>2022</c:v>
                </c:pt>
                <c:pt idx="4">
                  <c:v>2023</c:v>
                </c:pt>
                <c:pt idx="5">
                  <c:v>2024</c:v>
                </c:pt>
              </c:numCache>
            </c:numRef>
          </c:cat>
          <c:val>
            <c:numRef>
              <c:f>'Summarised trend NO2'!$J$3:$O$3</c:f>
              <c:numCache>
                <c:formatCode>General</c:formatCode>
                <c:ptCount val="6"/>
                <c:pt idx="0">
                  <c:v>32.150000000000006</c:v>
                </c:pt>
                <c:pt idx="1">
                  <c:v>20.5</c:v>
                </c:pt>
                <c:pt idx="2">
                  <c:v>25.149397978564643</c:v>
                </c:pt>
                <c:pt idx="3">
                  <c:v>24.388039786511406</c:v>
                </c:pt>
                <c:pt idx="4">
                  <c:v>18.244466316710408</c:v>
                </c:pt>
                <c:pt idx="5">
                  <c:v>17.243333333333336</c:v>
                </c:pt>
              </c:numCache>
            </c:numRef>
          </c:val>
          <c:smooth val="0"/>
          <c:extLst>
            <c:ext xmlns:c16="http://schemas.microsoft.com/office/drawing/2014/chart" uri="{C3380CC4-5D6E-409C-BE32-E72D297353CC}">
              <c16:uniqueId val="{00000000-DCE7-408D-AB94-8BCB13D26ABA}"/>
            </c:ext>
          </c:extLst>
        </c:ser>
        <c:ser>
          <c:idx val="1"/>
          <c:order val="1"/>
          <c:tx>
            <c:strRef>
              <c:f>'Summarised trend NO2'!$I$4</c:f>
              <c:strCache>
                <c:ptCount val="1"/>
                <c:pt idx="0">
                  <c:v>UK Urban Background</c:v>
                </c:pt>
              </c:strCache>
            </c:strRef>
          </c:tx>
          <c:spPr>
            <a:ln w="28575" cap="rnd">
              <a:solidFill>
                <a:schemeClr val="bg1">
                  <a:lumMod val="75000"/>
                </a:schemeClr>
              </a:solidFill>
              <a:round/>
            </a:ln>
            <a:effectLst/>
          </c:spPr>
          <c:marker>
            <c:symbol val="none"/>
          </c:marker>
          <c:cat>
            <c:numRef>
              <c:f>'Summarised trend NO2'!$J$2:$O$2</c:f>
              <c:numCache>
                <c:formatCode>General</c:formatCode>
                <c:ptCount val="6"/>
                <c:pt idx="0">
                  <c:v>2019</c:v>
                </c:pt>
                <c:pt idx="1">
                  <c:v>2020</c:v>
                </c:pt>
                <c:pt idx="2">
                  <c:v>2021</c:v>
                </c:pt>
                <c:pt idx="3">
                  <c:v>2022</c:v>
                </c:pt>
                <c:pt idx="4">
                  <c:v>2023</c:v>
                </c:pt>
                <c:pt idx="5">
                  <c:v>2024</c:v>
                </c:pt>
              </c:numCache>
            </c:numRef>
          </c:cat>
          <c:val>
            <c:numRef>
              <c:f>'Summarised trend NO2'!$J$4:$O$4</c:f>
              <c:numCache>
                <c:formatCode>General</c:formatCode>
                <c:ptCount val="6"/>
                <c:pt idx="0">
                  <c:v>19.56350789</c:v>
                </c:pt>
                <c:pt idx="1">
                  <c:v>15.06691545</c:v>
                </c:pt>
                <c:pt idx="2">
                  <c:v>15.865568639999999</c:v>
                </c:pt>
                <c:pt idx="3">
                  <c:v>15.64730999</c:v>
                </c:pt>
                <c:pt idx="4">
                  <c:v>14.25644664</c:v>
                </c:pt>
                <c:pt idx="5">
                  <c:v>13.127164240000001</c:v>
                </c:pt>
              </c:numCache>
            </c:numRef>
          </c:val>
          <c:smooth val="0"/>
          <c:extLst>
            <c:ext xmlns:c16="http://schemas.microsoft.com/office/drawing/2014/chart" uri="{C3380CC4-5D6E-409C-BE32-E72D297353CC}">
              <c16:uniqueId val="{00000001-DCE7-408D-AB94-8BCB13D26ABA}"/>
            </c:ext>
          </c:extLst>
        </c:ser>
        <c:ser>
          <c:idx val="2"/>
          <c:order val="2"/>
          <c:tx>
            <c:strRef>
              <c:f>'Summarised trend NO2'!$I$5</c:f>
              <c:strCache>
                <c:ptCount val="1"/>
                <c:pt idx="0">
                  <c:v>Newcastle Urban Roadside</c:v>
                </c:pt>
              </c:strCache>
            </c:strRef>
          </c:tx>
          <c:spPr>
            <a:ln w="28575" cap="rnd">
              <a:solidFill>
                <a:schemeClr val="accent6">
                  <a:lumMod val="50000"/>
                </a:schemeClr>
              </a:solidFill>
              <a:round/>
            </a:ln>
            <a:effectLst/>
          </c:spPr>
          <c:marker>
            <c:symbol val="none"/>
          </c:marker>
          <c:cat>
            <c:numRef>
              <c:f>'Summarised trend NO2'!$J$2:$O$2</c:f>
              <c:numCache>
                <c:formatCode>General</c:formatCode>
                <c:ptCount val="6"/>
                <c:pt idx="0">
                  <c:v>2019</c:v>
                </c:pt>
                <c:pt idx="1">
                  <c:v>2020</c:v>
                </c:pt>
                <c:pt idx="2">
                  <c:v>2021</c:v>
                </c:pt>
                <c:pt idx="3">
                  <c:v>2022</c:v>
                </c:pt>
                <c:pt idx="4">
                  <c:v>2023</c:v>
                </c:pt>
                <c:pt idx="5">
                  <c:v>2024</c:v>
                </c:pt>
              </c:numCache>
            </c:numRef>
          </c:cat>
          <c:val>
            <c:numRef>
              <c:f>'Summarised trend NO2'!$J$5:$O$5</c:f>
              <c:numCache>
                <c:formatCode>General</c:formatCode>
                <c:ptCount val="6"/>
                <c:pt idx="0">
                  <c:v>48.143548387096779</c:v>
                </c:pt>
                <c:pt idx="1">
                  <c:v>26.692424242424245</c:v>
                </c:pt>
                <c:pt idx="2">
                  <c:v>35.398121157997338</c:v>
                </c:pt>
                <c:pt idx="3">
                  <c:v>33.707388007744214</c:v>
                </c:pt>
                <c:pt idx="4">
                  <c:v>28.185769601444914</c:v>
                </c:pt>
                <c:pt idx="5">
                  <c:v>27.409359525597853</c:v>
                </c:pt>
              </c:numCache>
            </c:numRef>
          </c:val>
          <c:smooth val="0"/>
          <c:extLst>
            <c:ext xmlns:c16="http://schemas.microsoft.com/office/drawing/2014/chart" uri="{C3380CC4-5D6E-409C-BE32-E72D297353CC}">
              <c16:uniqueId val="{00000002-DCE7-408D-AB94-8BCB13D26ABA}"/>
            </c:ext>
          </c:extLst>
        </c:ser>
        <c:ser>
          <c:idx val="3"/>
          <c:order val="3"/>
          <c:tx>
            <c:strRef>
              <c:f>'Summarised trend NO2'!$I$6</c:f>
              <c:strCache>
                <c:ptCount val="1"/>
                <c:pt idx="0">
                  <c:v>UK Urban Roadside</c:v>
                </c:pt>
              </c:strCache>
            </c:strRef>
          </c:tx>
          <c:spPr>
            <a:ln w="28575" cap="rnd">
              <a:solidFill>
                <a:schemeClr val="bg1">
                  <a:lumMod val="50000"/>
                </a:schemeClr>
              </a:solidFill>
              <a:round/>
            </a:ln>
            <a:effectLst/>
          </c:spPr>
          <c:marker>
            <c:symbol val="none"/>
          </c:marker>
          <c:cat>
            <c:numRef>
              <c:f>'Summarised trend NO2'!$J$2:$O$2</c:f>
              <c:numCache>
                <c:formatCode>General</c:formatCode>
                <c:ptCount val="6"/>
                <c:pt idx="0">
                  <c:v>2019</c:v>
                </c:pt>
                <c:pt idx="1">
                  <c:v>2020</c:v>
                </c:pt>
                <c:pt idx="2">
                  <c:v>2021</c:v>
                </c:pt>
                <c:pt idx="3">
                  <c:v>2022</c:v>
                </c:pt>
                <c:pt idx="4">
                  <c:v>2023</c:v>
                </c:pt>
                <c:pt idx="5">
                  <c:v>2024</c:v>
                </c:pt>
              </c:numCache>
            </c:numRef>
          </c:cat>
          <c:val>
            <c:numRef>
              <c:f>'Summarised trend NO2'!$J$6:$O$6</c:f>
              <c:numCache>
                <c:formatCode>General</c:formatCode>
                <c:ptCount val="6"/>
                <c:pt idx="0">
                  <c:v>31.078820329999999</c:v>
                </c:pt>
                <c:pt idx="1">
                  <c:v>22.92554354</c:v>
                </c:pt>
                <c:pt idx="2">
                  <c:v>24.758975549999999</c:v>
                </c:pt>
                <c:pt idx="3">
                  <c:v>23.561710049999999</c:v>
                </c:pt>
                <c:pt idx="4">
                  <c:v>21.964544700000001</c:v>
                </c:pt>
                <c:pt idx="5">
                  <c:v>20.6551969</c:v>
                </c:pt>
              </c:numCache>
            </c:numRef>
          </c:val>
          <c:smooth val="0"/>
          <c:extLst>
            <c:ext xmlns:c16="http://schemas.microsoft.com/office/drawing/2014/chart" uri="{C3380CC4-5D6E-409C-BE32-E72D297353CC}">
              <c16:uniqueId val="{00000003-DCE7-408D-AB94-8BCB13D26ABA}"/>
            </c:ext>
          </c:extLst>
        </c:ser>
        <c:ser>
          <c:idx val="4"/>
          <c:order val="4"/>
          <c:tx>
            <c:strRef>
              <c:f>'Summarised trend NO2'!$I$7</c:f>
              <c:strCache>
                <c:ptCount val="1"/>
                <c:pt idx="0">
                  <c:v>AQO</c:v>
                </c:pt>
              </c:strCache>
            </c:strRef>
          </c:tx>
          <c:spPr>
            <a:ln w="28575" cap="rnd">
              <a:solidFill>
                <a:srgbClr val="FF0000"/>
              </a:solidFill>
              <a:prstDash val="dash"/>
              <a:round/>
            </a:ln>
            <a:effectLst/>
          </c:spPr>
          <c:marker>
            <c:symbol val="none"/>
          </c:marker>
          <c:cat>
            <c:numRef>
              <c:f>'Summarised trend NO2'!$J$2:$O$2</c:f>
              <c:numCache>
                <c:formatCode>General</c:formatCode>
                <c:ptCount val="6"/>
                <c:pt idx="0">
                  <c:v>2019</c:v>
                </c:pt>
                <c:pt idx="1">
                  <c:v>2020</c:v>
                </c:pt>
                <c:pt idx="2">
                  <c:v>2021</c:v>
                </c:pt>
                <c:pt idx="3">
                  <c:v>2022</c:v>
                </c:pt>
                <c:pt idx="4">
                  <c:v>2023</c:v>
                </c:pt>
                <c:pt idx="5">
                  <c:v>2024</c:v>
                </c:pt>
              </c:numCache>
            </c:numRef>
          </c:cat>
          <c:val>
            <c:numRef>
              <c:f>'Summarised trend NO2'!$J$7:$O$7</c:f>
              <c:numCache>
                <c:formatCode>General</c:formatCode>
                <c:ptCount val="6"/>
                <c:pt idx="0">
                  <c:v>40</c:v>
                </c:pt>
                <c:pt idx="1">
                  <c:v>40</c:v>
                </c:pt>
                <c:pt idx="2">
                  <c:v>40</c:v>
                </c:pt>
                <c:pt idx="3">
                  <c:v>40</c:v>
                </c:pt>
                <c:pt idx="4">
                  <c:v>40</c:v>
                </c:pt>
                <c:pt idx="5">
                  <c:v>40</c:v>
                </c:pt>
              </c:numCache>
            </c:numRef>
          </c:val>
          <c:smooth val="0"/>
          <c:extLst>
            <c:ext xmlns:c16="http://schemas.microsoft.com/office/drawing/2014/chart" uri="{C3380CC4-5D6E-409C-BE32-E72D297353CC}">
              <c16:uniqueId val="{00000004-DCE7-408D-AB94-8BCB13D26ABA}"/>
            </c:ext>
          </c:extLst>
        </c:ser>
        <c:dLbls>
          <c:showLegendKey val="0"/>
          <c:showVal val="0"/>
          <c:showCatName val="0"/>
          <c:showSerName val="0"/>
          <c:showPercent val="0"/>
          <c:showBubbleSize val="0"/>
        </c:dLbls>
        <c:smooth val="0"/>
        <c:axId val="1292700048"/>
        <c:axId val="1292694288"/>
      </c:lineChart>
      <c:catAx>
        <c:axId val="1292700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694288"/>
        <c:crosses val="autoZero"/>
        <c:auto val="1"/>
        <c:lblAlgn val="ctr"/>
        <c:lblOffset val="100"/>
        <c:noMultiLvlLbl val="0"/>
      </c:catAx>
      <c:valAx>
        <c:axId val="1292694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1000">
                    <a:effectLst/>
                  </a:rPr>
                  <a:t>NO</a:t>
                </a:r>
                <a:r>
                  <a:rPr lang="en-IE" sz="1000" baseline="-25000">
                    <a:effectLst/>
                  </a:rPr>
                  <a:t>2</a:t>
                </a:r>
                <a:r>
                  <a:rPr lang="en-GB" sz="1000">
                    <a:effectLst/>
                  </a:rPr>
                  <a:t> concentration (</a:t>
                </a:r>
                <a:r>
                  <a:rPr lang="en-IE" sz="1000">
                    <a:effectLst/>
                  </a:rPr>
                  <a:t>µg/m</a:t>
                </a:r>
                <a:r>
                  <a:rPr lang="en-IE" sz="1000" baseline="30000">
                    <a:effectLst/>
                  </a:rPr>
                  <a:t>3</a:t>
                </a:r>
                <a:r>
                  <a:rPr lang="en-GB" sz="1000">
                    <a:effectLst/>
                  </a:rPr>
                  <a:t>) </a:t>
                </a:r>
              </a:p>
            </c:rich>
          </c:tx>
          <c:layout>
            <c:manualLayout>
              <c:xMode val="edge"/>
              <c:yMode val="edge"/>
              <c:x val="1.9444444444444445E-2"/>
              <c:y val="2.813582813582813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70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Artic HGVs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Sheet1!$A$44</c:f>
              <c:strCache>
                <c:ptCount val="1"/>
                <c:pt idx="0">
                  <c:v>Newcastle ANPR</c:v>
                </c:pt>
              </c:strCache>
            </c:strRef>
          </c:tx>
          <c:spPr>
            <a:solidFill>
              <a:srgbClr val="008768"/>
            </a:solidFill>
            <a:ln>
              <a:noFill/>
            </a:ln>
            <a:effectLst/>
          </c:spPr>
          <c:invertIfNegative val="0"/>
          <c:cat>
            <c:strRef>
              <c:f>Sheet1!$B$43:$H$43</c:f>
              <c:strCache>
                <c:ptCount val="7"/>
                <c:pt idx="0">
                  <c:v>Pre Euro I</c:v>
                </c:pt>
                <c:pt idx="1">
                  <c:v>Euro I</c:v>
                </c:pt>
                <c:pt idx="2">
                  <c:v>Euro II</c:v>
                </c:pt>
                <c:pt idx="3">
                  <c:v>Euro III</c:v>
                </c:pt>
                <c:pt idx="4">
                  <c:v>Euro IV</c:v>
                </c:pt>
                <c:pt idx="5">
                  <c:v>Euro V</c:v>
                </c:pt>
                <c:pt idx="6">
                  <c:v>Euro VI</c:v>
                </c:pt>
              </c:strCache>
            </c:strRef>
          </c:cat>
          <c:val>
            <c:numRef>
              <c:f>Sheet1!$B$44:$H$44</c:f>
              <c:numCache>
                <c:formatCode>0.0%</c:formatCode>
                <c:ptCount val="7"/>
                <c:pt idx="0">
                  <c:v>0</c:v>
                </c:pt>
                <c:pt idx="1">
                  <c:v>0</c:v>
                </c:pt>
                <c:pt idx="2">
                  <c:v>0</c:v>
                </c:pt>
                <c:pt idx="3">
                  <c:v>3.8119440914866584E-3</c:v>
                </c:pt>
                <c:pt idx="4">
                  <c:v>1.1435832274459974E-2</c:v>
                </c:pt>
                <c:pt idx="5">
                  <c:v>5.7179161372299871E-2</c:v>
                </c:pt>
                <c:pt idx="6">
                  <c:v>0.92757306226175351</c:v>
                </c:pt>
              </c:numCache>
            </c:numRef>
          </c:val>
          <c:extLst>
            <c:ext xmlns:c16="http://schemas.microsoft.com/office/drawing/2014/chart" uri="{C3380CC4-5D6E-409C-BE32-E72D297353CC}">
              <c16:uniqueId val="{00000000-D8AC-47EA-80A0-DCF19C755BBD}"/>
            </c:ext>
          </c:extLst>
        </c:ser>
        <c:ser>
          <c:idx val="1"/>
          <c:order val="1"/>
          <c:tx>
            <c:strRef>
              <c:f>Sheet1!$A$45</c:f>
              <c:strCache>
                <c:ptCount val="1"/>
                <c:pt idx="0">
                  <c:v>EFT v13.1</c:v>
                </c:pt>
              </c:strCache>
            </c:strRef>
          </c:tx>
          <c:spPr>
            <a:solidFill>
              <a:srgbClr val="AECC53"/>
            </a:solidFill>
            <a:ln>
              <a:noFill/>
            </a:ln>
            <a:effectLst/>
          </c:spPr>
          <c:invertIfNegative val="0"/>
          <c:cat>
            <c:strRef>
              <c:f>Sheet1!$B$43:$H$43</c:f>
              <c:strCache>
                <c:ptCount val="7"/>
                <c:pt idx="0">
                  <c:v>Pre Euro I</c:v>
                </c:pt>
                <c:pt idx="1">
                  <c:v>Euro I</c:v>
                </c:pt>
                <c:pt idx="2">
                  <c:v>Euro II</c:v>
                </c:pt>
                <c:pt idx="3">
                  <c:v>Euro III</c:v>
                </c:pt>
                <c:pt idx="4">
                  <c:v>Euro IV</c:v>
                </c:pt>
                <c:pt idx="5">
                  <c:v>Euro V</c:v>
                </c:pt>
                <c:pt idx="6">
                  <c:v>Euro VI</c:v>
                </c:pt>
              </c:strCache>
            </c:strRef>
          </c:cat>
          <c:val>
            <c:numRef>
              <c:f>Sheet1!$B$45:$H$45</c:f>
              <c:numCache>
                <c:formatCode>0.0%</c:formatCode>
                <c:ptCount val="7"/>
                <c:pt idx="0">
                  <c:v>0</c:v>
                </c:pt>
                <c:pt idx="1">
                  <c:v>0</c:v>
                </c:pt>
                <c:pt idx="2">
                  <c:v>5.8634514742069593E-4</c:v>
                </c:pt>
                <c:pt idx="3">
                  <c:v>3.0646169394837803E-3</c:v>
                </c:pt>
                <c:pt idx="4">
                  <c:v>2.7248582229670269E-3</c:v>
                </c:pt>
                <c:pt idx="5">
                  <c:v>2.0215910422779423E-2</c:v>
                </c:pt>
                <c:pt idx="6">
                  <c:v>0.97340826926734902</c:v>
                </c:pt>
              </c:numCache>
            </c:numRef>
          </c:val>
          <c:extLst>
            <c:ext xmlns:c16="http://schemas.microsoft.com/office/drawing/2014/chart" uri="{C3380CC4-5D6E-409C-BE32-E72D297353CC}">
              <c16:uniqueId val="{00000001-D8AC-47EA-80A0-DCF19C755BBD}"/>
            </c:ext>
          </c:extLst>
        </c:ser>
        <c:dLbls>
          <c:showLegendKey val="0"/>
          <c:showVal val="0"/>
          <c:showCatName val="0"/>
          <c:showSerName val="0"/>
          <c:showPercent val="0"/>
          <c:showBubbleSize val="0"/>
        </c:dLbls>
        <c:gapWidth val="219"/>
        <c:overlap val="-27"/>
        <c:axId val="1319371487"/>
        <c:axId val="1319386847"/>
      </c:barChart>
      <c:catAx>
        <c:axId val="13193714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386847"/>
        <c:crosses val="autoZero"/>
        <c:auto val="1"/>
        <c:lblAlgn val="ctr"/>
        <c:lblOffset val="100"/>
        <c:noMultiLvlLbl val="0"/>
      </c:catAx>
      <c:valAx>
        <c:axId val="13193868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37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Sheet1!$A$49</c:f>
              <c:strCache>
                <c:ptCount val="1"/>
                <c:pt idx="0">
                  <c:v>Newcastle ANPR</c:v>
                </c:pt>
              </c:strCache>
            </c:strRef>
          </c:tx>
          <c:spPr>
            <a:solidFill>
              <a:srgbClr val="008768"/>
            </a:solidFill>
            <a:ln>
              <a:noFill/>
            </a:ln>
            <a:effectLst/>
          </c:spPr>
          <c:invertIfNegative val="0"/>
          <c:cat>
            <c:strRef>
              <c:f>Sheet1!$B$47:$H$48</c:f>
              <c:strCache>
                <c:ptCount val="7"/>
                <c:pt idx="0">
                  <c:v>Pre Euro I</c:v>
                </c:pt>
                <c:pt idx="1">
                  <c:v>Euro I</c:v>
                </c:pt>
                <c:pt idx="2">
                  <c:v>Euro II</c:v>
                </c:pt>
                <c:pt idx="3">
                  <c:v>Euro III</c:v>
                </c:pt>
                <c:pt idx="4">
                  <c:v>Euro IV</c:v>
                </c:pt>
                <c:pt idx="5">
                  <c:v>Euro V</c:v>
                </c:pt>
                <c:pt idx="6">
                  <c:v>Euro VI</c:v>
                </c:pt>
              </c:strCache>
            </c:strRef>
          </c:cat>
          <c:val>
            <c:numRef>
              <c:f>Sheet1!$B$49:$H$49</c:f>
              <c:numCache>
                <c:formatCode>0.0%</c:formatCode>
                <c:ptCount val="7"/>
                <c:pt idx="0">
                  <c:v>0</c:v>
                </c:pt>
                <c:pt idx="1">
                  <c:v>0</c:v>
                </c:pt>
                <c:pt idx="2">
                  <c:v>2.055076037813399E-4</c:v>
                </c:pt>
                <c:pt idx="3">
                  <c:v>3.0826140567200987E-3</c:v>
                </c:pt>
                <c:pt idx="4">
                  <c:v>5.3431976983148374E-2</c:v>
                </c:pt>
                <c:pt idx="5">
                  <c:v>0.4418413481298808</c:v>
                </c:pt>
                <c:pt idx="6">
                  <c:v>0.50143855322646935</c:v>
                </c:pt>
              </c:numCache>
            </c:numRef>
          </c:val>
          <c:extLst>
            <c:ext xmlns:c16="http://schemas.microsoft.com/office/drawing/2014/chart" uri="{C3380CC4-5D6E-409C-BE32-E72D297353CC}">
              <c16:uniqueId val="{00000000-DA26-4A9B-B58C-B0478564CA7F}"/>
            </c:ext>
          </c:extLst>
        </c:ser>
        <c:ser>
          <c:idx val="1"/>
          <c:order val="1"/>
          <c:tx>
            <c:strRef>
              <c:f>Sheet1!$A$50</c:f>
              <c:strCache>
                <c:ptCount val="1"/>
                <c:pt idx="0">
                  <c:v>EFT v13.1</c:v>
                </c:pt>
              </c:strCache>
            </c:strRef>
          </c:tx>
          <c:spPr>
            <a:solidFill>
              <a:srgbClr val="AECC53"/>
            </a:solidFill>
            <a:ln>
              <a:noFill/>
            </a:ln>
            <a:effectLst/>
          </c:spPr>
          <c:invertIfNegative val="0"/>
          <c:cat>
            <c:strRef>
              <c:f>Sheet1!$B$47:$H$48</c:f>
              <c:strCache>
                <c:ptCount val="7"/>
                <c:pt idx="0">
                  <c:v>Pre Euro I</c:v>
                </c:pt>
                <c:pt idx="1">
                  <c:v>Euro I</c:v>
                </c:pt>
                <c:pt idx="2">
                  <c:v>Euro II</c:v>
                </c:pt>
                <c:pt idx="3">
                  <c:v>Euro III</c:v>
                </c:pt>
                <c:pt idx="4">
                  <c:v>Euro IV</c:v>
                </c:pt>
                <c:pt idx="5">
                  <c:v>Euro V</c:v>
                </c:pt>
                <c:pt idx="6">
                  <c:v>Euro VI</c:v>
                </c:pt>
              </c:strCache>
            </c:strRef>
          </c:cat>
          <c:val>
            <c:numRef>
              <c:f>Sheet1!$B$50:$H$50</c:f>
              <c:numCache>
                <c:formatCode>0.0%</c:formatCode>
                <c:ptCount val="7"/>
                <c:pt idx="0">
                  <c:v>0</c:v>
                </c:pt>
                <c:pt idx="1">
                  <c:v>0</c:v>
                </c:pt>
                <c:pt idx="2">
                  <c:v>2.6793781505655154E-3</c:v>
                </c:pt>
                <c:pt idx="3">
                  <c:v>2.2569778452483383E-2</c:v>
                </c:pt>
                <c:pt idx="4">
                  <c:v>3.4182242876239936E-2</c:v>
                </c:pt>
                <c:pt idx="5">
                  <c:v>0.18712367703342545</c:v>
                </c:pt>
                <c:pt idx="6">
                  <c:v>0.75344492348728576</c:v>
                </c:pt>
              </c:numCache>
            </c:numRef>
          </c:val>
          <c:extLst>
            <c:ext xmlns:c16="http://schemas.microsoft.com/office/drawing/2014/chart" uri="{C3380CC4-5D6E-409C-BE32-E72D297353CC}">
              <c16:uniqueId val="{00000001-DA26-4A9B-B58C-B0478564CA7F}"/>
            </c:ext>
          </c:extLst>
        </c:ser>
        <c:dLbls>
          <c:showLegendKey val="0"/>
          <c:showVal val="0"/>
          <c:showCatName val="0"/>
          <c:showSerName val="0"/>
          <c:showPercent val="0"/>
          <c:showBubbleSize val="0"/>
        </c:dLbls>
        <c:gapWidth val="219"/>
        <c:overlap val="-27"/>
        <c:axId val="1205105471"/>
        <c:axId val="1205085311"/>
      </c:barChart>
      <c:catAx>
        <c:axId val="12051054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085311"/>
        <c:crosses val="autoZero"/>
        <c:auto val="1"/>
        <c:lblAlgn val="ctr"/>
        <c:lblOffset val="100"/>
        <c:noMultiLvlLbl val="0"/>
      </c:catAx>
      <c:valAx>
        <c:axId val="12050853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105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Market Street (DT8)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32396916010498683"/>
          <c:y val="0.19630037588791704"/>
          <c:w val="0.33539501312335956"/>
          <c:h val="0.55744323510807692"/>
        </c:manualLayout>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F639-43AB-B767-4C43BBFD84AD}"/>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F639-43AB-B767-4C43BBFD84AD}"/>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F639-43AB-B767-4C43BBFD84AD}"/>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F639-43AB-B767-4C43BBFD84AD}"/>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F639-43AB-B767-4C43BBFD84AD}"/>
              </c:ext>
            </c:extLst>
          </c:dPt>
          <c:dPt>
            <c:idx val="5"/>
            <c:bubble3D val="0"/>
            <c:spPr>
              <a:solidFill>
                <a:srgbClr val="C70C6F"/>
              </a:solidFill>
              <a:ln w="19050">
                <a:solidFill>
                  <a:schemeClr val="lt1"/>
                </a:solidFill>
              </a:ln>
              <a:effectLst/>
            </c:spPr>
            <c:extLst>
              <c:ext xmlns:c16="http://schemas.microsoft.com/office/drawing/2014/chart" uri="{C3380CC4-5D6E-409C-BE32-E72D297353CC}">
                <c16:uniqueId val="{0000000B-F639-43AB-B767-4C43BBFD84AD}"/>
              </c:ext>
            </c:extLst>
          </c:dPt>
          <c:dPt>
            <c:idx val="6"/>
            <c:bubble3D val="0"/>
            <c:spPr>
              <a:solidFill>
                <a:srgbClr val="DAD8CC"/>
              </a:solidFill>
              <a:ln w="19050">
                <a:solidFill>
                  <a:schemeClr val="lt1"/>
                </a:solidFill>
              </a:ln>
              <a:effectLst/>
            </c:spPr>
            <c:extLst>
              <c:ext xmlns:c16="http://schemas.microsoft.com/office/drawing/2014/chart" uri="{C3380CC4-5D6E-409C-BE32-E72D297353CC}">
                <c16:uniqueId val="{0000000D-F639-43AB-B767-4C43BBFD84AD}"/>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F639-43AB-B767-4C43BBFD84A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F639-43AB-B767-4C43BBFD84AD}"/>
                </c:ext>
              </c:extLst>
            </c:dLbl>
            <c:dLbl>
              <c:idx val="3"/>
              <c:layout>
                <c:manualLayout>
                  <c:x val="2.6194225721784776E-2"/>
                  <c:y val="-1.71497653702378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639-43AB-B767-4C43BBFD84AD}"/>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F639-43AB-B767-4C43BBFD84AD}"/>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B-F639-43AB-B767-4C43BBFD84AD}"/>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F639-43AB-B767-4C43BBFD8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'NO2'!$R$83:$R$89</c:f>
              <c:strCache>
                <c:ptCount val="7"/>
                <c:pt idx="0">
                  <c:v>Regional Background</c:v>
                </c:pt>
                <c:pt idx="1">
                  <c:v>Local Background</c:v>
                </c:pt>
                <c:pt idx="2">
                  <c:v>Diesel Cars</c:v>
                </c:pt>
                <c:pt idx="3">
                  <c:v>Petrol Cars</c:v>
                </c:pt>
                <c:pt idx="4">
                  <c:v>LGVs</c:v>
                </c:pt>
                <c:pt idx="5">
                  <c:v>HGVs</c:v>
                </c:pt>
                <c:pt idx="6">
                  <c:v>Buses</c:v>
                </c:pt>
              </c:strCache>
            </c:strRef>
          </c:cat>
          <c:val>
            <c:numRef>
              <c:f>'NO2'!$S$83:$S$89</c:f>
              <c:numCache>
                <c:formatCode>0.00</c:formatCode>
                <c:ptCount val="7"/>
                <c:pt idx="0">
                  <c:v>5.67</c:v>
                </c:pt>
                <c:pt idx="1">
                  <c:v>10.397540000000001</c:v>
                </c:pt>
                <c:pt idx="2">
                  <c:v>1.7715935193426726</c:v>
                </c:pt>
                <c:pt idx="3">
                  <c:v>0.25641398426059903</c:v>
                </c:pt>
                <c:pt idx="4">
                  <c:v>0.92230894974934585</c:v>
                </c:pt>
                <c:pt idx="5">
                  <c:v>0.32785980267562798</c:v>
                </c:pt>
                <c:pt idx="6">
                  <c:v>19.154283743971757</c:v>
                </c:pt>
              </c:numCache>
            </c:numRef>
          </c:val>
          <c:extLst>
            <c:ext xmlns:c16="http://schemas.microsoft.com/office/drawing/2014/chart" uri="{C3380CC4-5D6E-409C-BE32-E72D297353CC}">
              <c16:uniqueId val="{0000000E-F639-43AB-B767-4C43BBFD84AD}"/>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2243657042869631E-2"/>
          <c:y val="0.78300797580357862"/>
          <c:w val="0.98775634295713033"/>
          <c:h val="0.1892911931714906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Background Detail, Market Street (DT8)</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0A70-42CF-9C7C-0036876F1EAE}"/>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0A70-42CF-9C7C-0036876F1EAE}"/>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0A70-42CF-9C7C-0036876F1EAE}"/>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0A70-42CF-9C7C-0036876F1EAE}"/>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0A70-42CF-9C7C-0036876F1EAE}"/>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0A70-42CF-9C7C-0036876F1E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'NO2'!$R$93:$R$97</c:f>
              <c:strCache>
                <c:ptCount val="5"/>
                <c:pt idx="0">
                  <c:v>Road</c:v>
                </c:pt>
                <c:pt idx="1">
                  <c:v>Industry</c:v>
                </c:pt>
                <c:pt idx="2">
                  <c:v>Domestic</c:v>
                </c:pt>
                <c:pt idx="3">
                  <c:v>Other Transport</c:v>
                </c:pt>
                <c:pt idx="4">
                  <c:v>Other</c:v>
                </c:pt>
              </c:strCache>
            </c:strRef>
          </c:cat>
          <c:val>
            <c:numRef>
              <c:f>'NO2'!$S$93:$S$97</c:f>
              <c:numCache>
                <c:formatCode>0.00</c:formatCode>
                <c:ptCount val="5"/>
                <c:pt idx="0">
                  <c:v>8.0292919999999999</c:v>
                </c:pt>
                <c:pt idx="1">
                  <c:v>1.5748040000000001</c:v>
                </c:pt>
                <c:pt idx="2">
                  <c:v>5.4293829999999996</c:v>
                </c:pt>
                <c:pt idx="3">
                  <c:v>0.55278800000000006</c:v>
                </c:pt>
                <c:pt idx="4">
                  <c:v>6.5675690000000007</c:v>
                </c:pt>
              </c:numCache>
            </c:numRef>
          </c:val>
          <c:extLst>
            <c:ext xmlns:c16="http://schemas.microsoft.com/office/drawing/2014/chart" uri="{C3380CC4-5D6E-409C-BE32-E72D297353CC}">
              <c16:uniqueId val="{0000000A-0A70-42CF-9C7C-0036876F1EAE}"/>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St Mary's Place (DT5/115/116)</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32396916010498683"/>
          <c:y val="0.19630037588791704"/>
          <c:w val="0.33539501312335956"/>
          <c:h val="0.55744323510807692"/>
        </c:manualLayout>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C943-4A2C-A5FE-6048108FD498}"/>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C943-4A2C-A5FE-6048108FD498}"/>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C943-4A2C-A5FE-6048108FD498}"/>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C943-4A2C-A5FE-6048108FD498}"/>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C943-4A2C-A5FE-6048108FD498}"/>
              </c:ext>
            </c:extLst>
          </c:dPt>
          <c:dPt>
            <c:idx val="5"/>
            <c:bubble3D val="0"/>
            <c:spPr>
              <a:solidFill>
                <a:srgbClr val="C70C6F"/>
              </a:solidFill>
              <a:ln w="19050">
                <a:solidFill>
                  <a:schemeClr val="lt1"/>
                </a:solidFill>
              </a:ln>
              <a:effectLst/>
            </c:spPr>
            <c:extLst>
              <c:ext xmlns:c16="http://schemas.microsoft.com/office/drawing/2014/chart" uri="{C3380CC4-5D6E-409C-BE32-E72D297353CC}">
                <c16:uniqueId val="{0000000B-C943-4A2C-A5FE-6048108FD498}"/>
              </c:ext>
            </c:extLst>
          </c:dPt>
          <c:dPt>
            <c:idx val="6"/>
            <c:bubble3D val="0"/>
            <c:spPr>
              <a:solidFill>
                <a:srgbClr val="DAD8CC"/>
              </a:solidFill>
              <a:ln w="19050">
                <a:solidFill>
                  <a:schemeClr val="lt1"/>
                </a:solidFill>
              </a:ln>
              <a:effectLst/>
            </c:spPr>
            <c:extLst>
              <c:ext xmlns:c16="http://schemas.microsoft.com/office/drawing/2014/chart" uri="{C3380CC4-5D6E-409C-BE32-E72D297353CC}">
                <c16:uniqueId val="{0000000D-C943-4A2C-A5FE-6048108FD49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C943-4A2C-A5FE-6048108FD498}"/>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C943-4A2C-A5FE-6048108FD498}"/>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C943-4A2C-A5FE-6048108FD498}"/>
                </c:ext>
              </c:extLst>
            </c:dLbl>
            <c:dLbl>
              <c:idx val="4"/>
              <c:layout>
                <c:manualLayout>
                  <c:x val="2.1719255895932717E-2"/>
                  <c:y val="-1.135418214232654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43-4A2C-A5FE-6048108FD498}"/>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B-C943-4A2C-A5FE-6048108FD498}"/>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D-C943-4A2C-A5FE-6048108FD4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'NO2'!$R$115:$R$121</c:f>
              <c:strCache>
                <c:ptCount val="7"/>
                <c:pt idx="0">
                  <c:v>Regional Background</c:v>
                </c:pt>
                <c:pt idx="1">
                  <c:v>Local Background</c:v>
                </c:pt>
                <c:pt idx="2">
                  <c:v>Diesel Cars</c:v>
                </c:pt>
                <c:pt idx="3">
                  <c:v>Petrol Cars</c:v>
                </c:pt>
                <c:pt idx="4">
                  <c:v>LGVs</c:v>
                </c:pt>
                <c:pt idx="5">
                  <c:v>HGVs</c:v>
                </c:pt>
                <c:pt idx="6">
                  <c:v>Buses</c:v>
                </c:pt>
              </c:strCache>
            </c:strRef>
          </c:cat>
          <c:val>
            <c:numRef>
              <c:f>'NO2'!$S$115:$S$121</c:f>
              <c:numCache>
                <c:formatCode>0.00</c:formatCode>
                <c:ptCount val="7"/>
                <c:pt idx="0">
                  <c:v>5.67</c:v>
                </c:pt>
                <c:pt idx="1">
                  <c:v>10.397540000000001</c:v>
                </c:pt>
                <c:pt idx="2">
                  <c:v>3.0833219699186962</c:v>
                </c:pt>
                <c:pt idx="3">
                  <c:v>0.42213758928569506</c:v>
                </c:pt>
                <c:pt idx="4">
                  <c:v>1.0991000428445363</c:v>
                </c:pt>
                <c:pt idx="5">
                  <c:v>0.1927154714619578</c:v>
                </c:pt>
                <c:pt idx="6">
                  <c:v>15.435184926489111</c:v>
                </c:pt>
              </c:numCache>
            </c:numRef>
          </c:val>
          <c:extLst>
            <c:ext xmlns:c16="http://schemas.microsoft.com/office/drawing/2014/chart" uri="{C3380CC4-5D6E-409C-BE32-E72D297353CC}">
              <c16:uniqueId val="{0000000E-C943-4A2C-A5FE-6048108FD498}"/>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2243657042869631E-2"/>
          <c:y val="0.78300797580357862"/>
          <c:w val="0.98775634295713033"/>
          <c:h val="0.1892911931714906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Background Detail, St Mary's Place (DT5/115/116)</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E3E4-4C94-877C-CFCC8F927EED}"/>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E3E4-4C94-877C-CFCC8F927EED}"/>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E3E4-4C94-877C-CFCC8F927EED}"/>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E3E4-4C94-877C-CFCC8F927EED}"/>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E3E4-4C94-877C-CFCC8F927EED}"/>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E3E4-4C94-877C-CFCC8F927E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'NO2'!$R$125:$R$129</c:f>
              <c:strCache>
                <c:ptCount val="5"/>
                <c:pt idx="0">
                  <c:v>Road</c:v>
                </c:pt>
                <c:pt idx="1">
                  <c:v>Industry</c:v>
                </c:pt>
                <c:pt idx="2">
                  <c:v>Domestic</c:v>
                </c:pt>
                <c:pt idx="3">
                  <c:v>Other Transport</c:v>
                </c:pt>
                <c:pt idx="4">
                  <c:v>Other</c:v>
                </c:pt>
              </c:strCache>
            </c:strRef>
          </c:cat>
          <c:val>
            <c:numRef>
              <c:f>'NO2'!$S$125:$S$129</c:f>
              <c:numCache>
                <c:formatCode>0.00</c:formatCode>
                <c:ptCount val="5"/>
                <c:pt idx="0">
                  <c:v>8.0292919999999999</c:v>
                </c:pt>
                <c:pt idx="1">
                  <c:v>1.5748040000000001</c:v>
                </c:pt>
                <c:pt idx="2">
                  <c:v>5.4293829999999996</c:v>
                </c:pt>
                <c:pt idx="3">
                  <c:v>0.55278800000000006</c:v>
                </c:pt>
                <c:pt idx="4">
                  <c:v>6.5675690000000007</c:v>
                </c:pt>
              </c:numCache>
            </c:numRef>
          </c:val>
          <c:extLst>
            <c:ext xmlns:c16="http://schemas.microsoft.com/office/drawing/2014/chart" uri="{C3380CC4-5D6E-409C-BE32-E72D297353CC}">
              <c16:uniqueId val="{0000000A-E3E4-4C94-877C-CFCC8F927EED}"/>
            </c:ext>
          </c:extLst>
        </c:ser>
        <c:dLbls>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Stephenson Road (DT81)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manualLayout>
          <c:layoutTarget val="inner"/>
          <c:xMode val="edge"/>
          <c:yMode val="edge"/>
          <c:x val="0.32396916010498683"/>
          <c:y val="0.19630037588791704"/>
          <c:w val="0.33539501312335956"/>
          <c:h val="0.55744323510807692"/>
        </c:manualLayout>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D141-4C46-89B3-F5318BA1823E}"/>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D141-4C46-89B3-F5318BA1823E}"/>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D141-4C46-89B3-F5318BA1823E}"/>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D141-4C46-89B3-F5318BA1823E}"/>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D141-4C46-89B3-F5318BA1823E}"/>
              </c:ext>
            </c:extLst>
          </c:dPt>
          <c:dPt>
            <c:idx val="5"/>
            <c:bubble3D val="0"/>
            <c:spPr>
              <a:solidFill>
                <a:srgbClr val="C70C6F"/>
              </a:solidFill>
              <a:ln w="19050">
                <a:solidFill>
                  <a:schemeClr val="lt1"/>
                </a:solidFill>
              </a:ln>
              <a:effectLst/>
            </c:spPr>
            <c:extLst>
              <c:ext xmlns:c16="http://schemas.microsoft.com/office/drawing/2014/chart" uri="{C3380CC4-5D6E-409C-BE32-E72D297353CC}">
                <c16:uniqueId val="{0000000B-D141-4C46-89B3-F5318BA1823E}"/>
              </c:ext>
            </c:extLst>
          </c:dPt>
          <c:dPt>
            <c:idx val="6"/>
            <c:bubble3D val="0"/>
            <c:spPr>
              <a:solidFill>
                <a:srgbClr val="DAD8CC"/>
              </a:solidFill>
              <a:ln w="19050">
                <a:solidFill>
                  <a:schemeClr val="lt1"/>
                </a:solidFill>
              </a:ln>
              <a:effectLst/>
            </c:spPr>
            <c:extLst>
              <c:ext xmlns:c16="http://schemas.microsoft.com/office/drawing/2014/chart" uri="{C3380CC4-5D6E-409C-BE32-E72D297353CC}">
                <c16:uniqueId val="{0000000D-D141-4C46-89B3-F5318BA1823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D141-4C46-89B3-F5318BA1823E}"/>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3-D141-4C46-89B3-F5318BA1823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D141-4C46-89B3-F5318BA1823E}"/>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7-D141-4C46-89B3-F5318BA1823E}"/>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9-D141-4C46-89B3-F5318BA1823E}"/>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B-D141-4C46-89B3-F5318BA1823E}"/>
                </c:ext>
              </c:extLst>
            </c:dLbl>
            <c:dLbl>
              <c:idx val="6"/>
              <c:layout>
                <c:manualLayout>
                  <c:x val="1.9434601924759404E-2"/>
                  <c:y val="0.1035280389120335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141-4C46-89B3-F5318BA182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'NO2'!$R$14:$R$20</c:f>
              <c:strCache>
                <c:ptCount val="7"/>
                <c:pt idx="0">
                  <c:v>Regional Background</c:v>
                </c:pt>
                <c:pt idx="1">
                  <c:v>Local Background</c:v>
                </c:pt>
                <c:pt idx="2">
                  <c:v>Diesel Cars</c:v>
                </c:pt>
                <c:pt idx="3">
                  <c:v>Petrol Cars</c:v>
                </c:pt>
                <c:pt idx="4">
                  <c:v>LGVs</c:v>
                </c:pt>
                <c:pt idx="5">
                  <c:v>HGVs</c:v>
                </c:pt>
                <c:pt idx="6">
                  <c:v>Buses</c:v>
                </c:pt>
              </c:strCache>
            </c:strRef>
          </c:cat>
          <c:val>
            <c:numRef>
              <c:f>'NO2'!$S$14:$S$20</c:f>
              <c:numCache>
                <c:formatCode>0.00</c:formatCode>
                <c:ptCount val="7"/>
                <c:pt idx="0">
                  <c:v>5.67</c:v>
                </c:pt>
                <c:pt idx="1">
                  <c:v>7.3858999999999995</c:v>
                </c:pt>
                <c:pt idx="2">
                  <c:v>25.159950499990742</c:v>
                </c:pt>
                <c:pt idx="3">
                  <c:v>4.2574356367674611</c:v>
                </c:pt>
                <c:pt idx="4">
                  <c:v>15.472921921872359</c:v>
                </c:pt>
                <c:pt idx="5">
                  <c:v>1.2224302614895071</c:v>
                </c:pt>
                <c:pt idx="6">
                  <c:v>5.3313616798799304</c:v>
                </c:pt>
              </c:numCache>
            </c:numRef>
          </c:val>
          <c:extLst>
            <c:ext xmlns:c16="http://schemas.microsoft.com/office/drawing/2014/chart" uri="{C3380CC4-5D6E-409C-BE32-E72D297353CC}">
              <c16:uniqueId val="{0000000E-D141-4C46-89B3-F5318BA1823E}"/>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1.2243657042869631E-2"/>
          <c:y val="0.78300797580357862"/>
          <c:w val="0.98775634295713033"/>
          <c:h val="0.18929119317149065"/>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a:t>
            </a:r>
            <a:r>
              <a:rPr lang="en-GB" baseline="-25000"/>
              <a:t>2</a:t>
            </a:r>
            <a:r>
              <a:rPr lang="en-GB" baseline="0"/>
              <a:t> Source Apportionment, Background Detail, Stephenson Road (DT81)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CB1E-4C88-81CF-C0FCA62F64F6}"/>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CB1E-4C88-81CF-C0FCA62F64F6}"/>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CB1E-4C88-81CF-C0FCA62F64F6}"/>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CB1E-4C88-81CF-C0FCA62F64F6}"/>
              </c:ext>
            </c:extLst>
          </c:dPt>
          <c:dPt>
            <c:idx val="4"/>
            <c:bubble3D val="0"/>
            <c:spPr>
              <a:solidFill>
                <a:srgbClr val="E1CE00"/>
              </a:solidFill>
              <a:ln w="19050">
                <a:solidFill>
                  <a:schemeClr val="lt1"/>
                </a:solidFill>
              </a:ln>
              <a:effectLst/>
            </c:spPr>
            <c:extLst>
              <c:ext xmlns:c16="http://schemas.microsoft.com/office/drawing/2014/chart" uri="{C3380CC4-5D6E-409C-BE32-E72D297353CC}">
                <c16:uniqueId val="{00000009-CB1E-4C88-81CF-C0FCA62F64F6}"/>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5-CB1E-4C88-81CF-C0FCA62F64F6}"/>
                </c:ext>
              </c:extLst>
            </c:dLbl>
            <c:dLbl>
              <c:idx val="3"/>
              <c:layout>
                <c:manualLayout>
                  <c:x val="4.8024492491170496E-4"/>
                  <c:y val="-1.230690380120402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15:layout>
                    <c:manualLayout>
                      <c:w val="3.5991188839641551E-2"/>
                      <c:h val="6.2127028897507215E-2"/>
                    </c:manualLayout>
                  </c15:layout>
                </c:ext>
                <c:ext xmlns:c16="http://schemas.microsoft.com/office/drawing/2014/chart" uri="{C3380CC4-5D6E-409C-BE32-E72D297353CC}">
                  <c16:uniqueId val="{00000007-CB1E-4C88-81CF-C0FCA62F6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'NO2'!$R$24:$R$28</c:f>
              <c:strCache>
                <c:ptCount val="5"/>
                <c:pt idx="0">
                  <c:v>Road</c:v>
                </c:pt>
                <c:pt idx="1">
                  <c:v>Industry</c:v>
                </c:pt>
                <c:pt idx="2">
                  <c:v>Domestic</c:v>
                </c:pt>
                <c:pt idx="3">
                  <c:v>Other Transport</c:v>
                </c:pt>
                <c:pt idx="4">
                  <c:v>Other</c:v>
                </c:pt>
              </c:strCache>
            </c:strRef>
          </c:cat>
          <c:val>
            <c:numRef>
              <c:f>'NO2'!$S$24:$S$28</c:f>
              <c:numCache>
                <c:formatCode>0.00</c:formatCode>
                <c:ptCount val="5"/>
                <c:pt idx="0">
                  <c:v>7.6012489999999993</c:v>
                </c:pt>
                <c:pt idx="1">
                  <c:v>1.513981</c:v>
                </c:pt>
                <c:pt idx="2">
                  <c:v>3.3515470000000001</c:v>
                </c:pt>
                <c:pt idx="3">
                  <c:v>0.42082200000000003</c:v>
                </c:pt>
                <c:pt idx="4">
                  <c:v>4.5866660000000001</c:v>
                </c:pt>
              </c:numCache>
            </c:numRef>
          </c:val>
          <c:extLst>
            <c:ext xmlns:c16="http://schemas.microsoft.com/office/drawing/2014/chart" uri="{C3380CC4-5D6E-409C-BE32-E72D297353CC}">
              <c16:uniqueId val="{0000000A-CB1E-4C88-81CF-C0FCA62F64F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PM</a:t>
            </a:r>
            <a:r>
              <a:rPr lang="en-GB" sz="1400" b="0" i="0" u="none" strike="noStrike" kern="1200" spc="0" baseline="-25000">
                <a:solidFill>
                  <a:sysClr val="windowText" lastClr="000000">
                    <a:lumMod val="65000"/>
                    <a:lumOff val="35000"/>
                  </a:sysClr>
                </a:solidFill>
              </a:rPr>
              <a:t>10</a:t>
            </a:r>
            <a:r>
              <a:rPr lang="en-GB" sz="1400" b="0" i="0" u="none" strike="noStrike" kern="1200" spc="0" baseline="0">
                <a:solidFill>
                  <a:sysClr val="windowText" lastClr="000000">
                    <a:lumMod val="65000"/>
                    <a:lumOff val="35000"/>
                  </a:sysClr>
                </a:solidFill>
              </a:rPr>
              <a:t> Source Apportionment, Jesmond Road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'PM10'!$L$54</c:f>
              <c:strCache>
                <c:ptCount val="1"/>
                <c:pt idx="0">
                  <c:v>% Contribution</c:v>
                </c:pt>
              </c:strCache>
            </c:strRef>
          </c:tx>
          <c:dPt>
            <c:idx val="0"/>
            <c:bubble3D val="0"/>
            <c:spPr>
              <a:solidFill>
                <a:srgbClr val="008768"/>
              </a:solidFill>
              <a:ln w="19050">
                <a:solidFill>
                  <a:schemeClr val="lt1"/>
                </a:solidFill>
              </a:ln>
              <a:effectLst/>
            </c:spPr>
            <c:extLst>
              <c:ext xmlns:c16="http://schemas.microsoft.com/office/drawing/2014/chart" uri="{C3380CC4-5D6E-409C-BE32-E72D297353CC}">
                <c16:uniqueId val="{00000001-D5AB-4582-880E-74450D333C36}"/>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D5AB-4582-880E-74450D333C3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'PM10'!$J$55:$J$56</c:f>
              <c:strCache>
                <c:ptCount val="2"/>
                <c:pt idx="0">
                  <c:v>Background</c:v>
                </c:pt>
                <c:pt idx="1">
                  <c:v>Road</c:v>
                </c:pt>
              </c:strCache>
            </c:strRef>
          </c:cat>
          <c:val>
            <c:numRef>
              <c:f>'PM10'!$L$55:$L$56</c:f>
              <c:numCache>
                <c:formatCode>0%</c:formatCode>
                <c:ptCount val="2"/>
                <c:pt idx="0">
                  <c:v>0.96427809403642961</c:v>
                </c:pt>
                <c:pt idx="1">
                  <c:v>3.5721905963570437E-2</c:v>
                </c:pt>
              </c:numCache>
            </c:numRef>
          </c:val>
          <c:extLst>
            <c:ext xmlns:c16="http://schemas.microsoft.com/office/drawing/2014/chart" uri="{C3380CC4-5D6E-409C-BE32-E72D297353CC}">
              <c16:uniqueId val="{00000004-D5AB-4582-880E-74450D333C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PM</a:t>
            </a:r>
            <a:r>
              <a:rPr lang="en-GB" baseline="-25000"/>
              <a:t>10</a:t>
            </a:r>
            <a:r>
              <a:rPr lang="en-GB" baseline="0"/>
              <a:t> Source Apportionment, Background Detail,  Jesmond Road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D56F-47EE-9B0F-336D77171C3C}"/>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D56F-47EE-9B0F-336D77171C3C}"/>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D56F-47EE-9B0F-336D77171C3C}"/>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D56F-47EE-9B0F-336D77171C3C}"/>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D56F-47EE-9B0F-336D77171C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'PM10'!$N$55:$N$58</c:f>
              <c:strCache>
                <c:ptCount val="4"/>
                <c:pt idx="0">
                  <c:v>Road</c:v>
                </c:pt>
                <c:pt idx="1">
                  <c:v>Industry</c:v>
                </c:pt>
                <c:pt idx="2">
                  <c:v>Domestic</c:v>
                </c:pt>
                <c:pt idx="3">
                  <c:v>Other</c:v>
                </c:pt>
              </c:strCache>
            </c:strRef>
          </c:cat>
          <c:val>
            <c:numRef>
              <c:f>'PM10'!$O$55:$O$58</c:f>
              <c:numCache>
                <c:formatCode>0%</c:formatCode>
                <c:ptCount val="4"/>
                <c:pt idx="0">
                  <c:v>9.4879560385948553E-2</c:v>
                </c:pt>
                <c:pt idx="1">
                  <c:v>0.13410512000111735</c:v>
                </c:pt>
                <c:pt idx="2">
                  <c:v>0.15796421249809781</c:v>
                </c:pt>
                <c:pt idx="3">
                  <c:v>0.61305102591174421</c:v>
                </c:pt>
              </c:numCache>
            </c:numRef>
          </c:val>
          <c:extLst>
            <c:ext xmlns:c16="http://schemas.microsoft.com/office/drawing/2014/chart" uri="{C3380CC4-5D6E-409C-BE32-E72D297353CC}">
              <c16:uniqueId val="{00000008-D56F-47EE-9B0F-336D77171C3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'summarised trend PM'!$A$3</c:f>
              <c:strCache>
                <c:ptCount val="1"/>
                <c:pt idx="0">
                  <c:v>Newcastle Centre AURN</c:v>
                </c:pt>
              </c:strCache>
            </c:strRef>
          </c:tx>
          <c:spPr>
            <a:ln w="28575" cap="rnd">
              <a:solidFill>
                <a:schemeClr val="accent6">
                  <a:lumMod val="60000"/>
                  <a:lumOff val="40000"/>
                </a:schemeClr>
              </a:solidFill>
              <a:round/>
            </a:ln>
            <a:effectLst/>
          </c:spPr>
          <c:marker>
            <c:symbol val="none"/>
          </c:marker>
          <c:cat>
            <c:numRef>
              <c:f>'summarised trend PM'!$B$2:$G$2</c:f>
              <c:numCache>
                <c:formatCode>General</c:formatCode>
                <c:ptCount val="6"/>
                <c:pt idx="0">
                  <c:v>2019</c:v>
                </c:pt>
                <c:pt idx="1">
                  <c:v>2020</c:v>
                </c:pt>
                <c:pt idx="2">
                  <c:v>2021</c:v>
                </c:pt>
                <c:pt idx="3">
                  <c:v>2022</c:v>
                </c:pt>
                <c:pt idx="4">
                  <c:v>2023</c:v>
                </c:pt>
                <c:pt idx="5">
                  <c:v>2024</c:v>
                </c:pt>
              </c:numCache>
            </c:numRef>
          </c:cat>
          <c:val>
            <c:numRef>
              <c:f>'summarised trend PM'!$B$3:$G$3</c:f>
              <c:numCache>
                <c:formatCode>General</c:formatCode>
                <c:ptCount val="6"/>
                <c:pt idx="0">
                  <c:v>15.2</c:v>
                </c:pt>
                <c:pt idx="1">
                  <c:v>13.4</c:v>
                </c:pt>
                <c:pt idx="2">
                  <c:v>14.3</c:v>
                </c:pt>
                <c:pt idx="3">
                  <c:v>12.4</c:v>
                </c:pt>
                <c:pt idx="4">
                  <c:v>10.7</c:v>
                </c:pt>
                <c:pt idx="5">
                  <c:v>12.7</c:v>
                </c:pt>
              </c:numCache>
            </c:numRef>
          </c:val>
          <c:smooth val="0"/>
          <c:extLst>
            <c:ext xmlns:c16="http://schemas.microsoft.com/office/drawing/2014/chart" uri="{C3380CC4-5D6E-409C-BE32-E72D297353CC}">
              <c16:uniqueId val="{00000000-6334-44F7-AA75-1FBE5D1F0F78}"/>
            </c:ext>
          </c:extLst>
        </c:ser>
        <c:ser>
          <c:idx val="1"/>
          <c:order val="1"/>
          <c:tx>
            <c:strRef>
              <c:f>'summarised trend PM'!$A$4</c:f>
              <c:strCache>
                <c:ptCount val="1"/>
                <c:pt idx="0">
                  <c:v>UK Urban Background</c:v>
                </c:pt>
              </c:strCache>
            </c:strRef>
          </c:tx>
          <c:spPr>
            <a:ln w="28575" cap="rnd">
              <a:solidFill>
                <a:schemeClr val="bg1">
                  <a:lumMod val="75000"/>
                </a:schemeClr>
              </a:solidFill>
              <a:round/>
            </a:ln>
            <a:effectLst/>
          </c:spPr>
          <c:marker>
            <c:symbol val="none"/>
          </c:marker>
          <c:cat>
            <c:numRef>
              <c:f>'summarised trend PM'!$B$2:$G$2</c:f>
              <c:numCache>
                <c:formatCode>General</c:formatCode>
                <c:ptCount val="6"/>
                <c:pt idx="0">
                  <c:v>2019</c:v>
                </c:pt>
                <c:pt idx="1">
                  <c:v>2020</c:v>
                </c:pt>
                <c:pt idx="2">
                  <c:v>2021</c:v>
                </c:pt>
                <c:pt idx="3">
                  <c:v>2022</c:v>
                </c:pt>
                <c:pt idx="4">
                  <c:v>2023</c:v>
                </c:pt>
                <c:pt idx="5">
                  <c:v>2024</c:v>
                </c:pt>
              </c:numCache>
            </c:numRef>
          </c:cat>
          <c:val>
            <c:numRef>
              <c:f>'summarised trend PM'!$B$4:$G$4</c:f>
              <c:numCache>
                <c:formatCode>General</c:formatCode>
                <c:ptCount val="6"/>
                <c:pt idx="0">
                  <c:v>15.02647863</c:v>
                </c:pt>
                <c:pt idx="1">
                  <c:v>13.22185382</c:v>
                </c:pt>
                <c:pt idx="2">
                  <c:v>12.97194545</c:v>
                </c:pt>
                <c:pt idx="3">
                  <c:v>13.956842760000001</c:v>
                </c:pt>
                <c:pt idx="4">
                  <c:v>12.273542300000001</c:v>
                </c:pt>
                <c:pt idx="5">
                  <c:v>11.826146189999999</c:v>
                </c:pt>
              </c:numCache>
            </c:numRef>
          </c:val>
          <c:smooth val="0"/>
          <c:extLst>
            <c:ext xmlns:c16="http://schemas.microsoft.com/office/drawing/2014/chart" uri="{C3380CC4-5D6E-409C-BE32-E72D297353CC}">
              <c16:uniqueId val="{00000001-6334-44F7-AA75-1FBE5D1F0F78}"/>
            </c:ext>
          </c:extLst>
        </c:ser>
        <c:ser>
          <c:idx val="2"/>
          <c:order val="2"/>
          <c:tx>
            <c:strRef>
              <c:f>'summarised trend PM'!$A$5</c:f>
              <c:strCache>
                <c:ptCount val="1"/>
                <c:pt idx="0">
                  <c:v>Cradlewell AURN</c:v>
                </c:pt>
              </c:strCache>
            </c:strRef>
          </c:tx>
          <c:spPr>
            <a:ln w="28575" cap="rnd">
              <a:solidFill>
                <a:schemeClr val="accent6">
                  <a:lumMod val="50000"/>
                </a:schemeClr>
              </a:solidFill>
              <a:round/>
            </a:ln>
            <a:effectLst/>
          </c:spPr>
          <c:marker>
            <c:symbol val="none"/>
          </c:marker>
          <c:cat>
            <c:numRef>
              <c:f>'summarised trend PM'!$B$2:$G$2</c:f>
              <c:numCache>
                <c:formatCode>General</c:formatCode>
                <c:ptCount val="6"/>
                <c:pt idx="0">
                  <c:v>2019</c:v>
                </c:pt>
                <c:pt idx="1">
                  <c:v>2020</c:v>
                </c:pt>
                <c:pt idx="2">
                  <c:v>2021</c:v>
                </c:pt>
                <c:pt idx="3">
                  <c:v>2022</c:v>
                </c:pt>
                <c:pt idx="4">
                  <c:v>2023</c:v>
                </c:pt>
                <c:pt idx="5">
                  <c:v>2024</c:v>
                </c:pt>
              </c:numCache>
            </c:numRef>
          </c:cat>
          <c:val>
            <c:numRef>
              <c:f>'summarised trend PM'!$B$5:$G$5</c:f>
              <c:numCache>
                <c:formatCode>General</c:formatCode>
                <c:ptCount val="6"/>
                <c:pt idx="0">
                  <c:v>16.2</c:v>
                </c:pt>
                <c:pt idx="1">
                  <c:v>13.8</c:v>
                </c:pt>
                <c:pt idx="2">
                  <c:v>12.9</c:v>
                </c:pt>
                <c:pt idx="3">
                  <c:v>12.8</c:v>
                </c:pt>
                <c:pt idx="4">
                  <c:v>13.2</c:v>
                </c:pt>
                <c:pt idx="5">
                  <c:v>13</c:v>
                </c:pt>
              </c:numCache>
            </c:numRef>
          </c:val>
          <c:smooth val="0"/>
          <c:extLst>
            <c:ext xmlns:c16="http://schemas.microsoft.com/office/drawing/2014/chart" uri="{C3380CC4-5D6E-409C-BE32-E72D297353CC}">
              <c16:uniqueId val="{00000002-6334-44F7-AA75-1FBE5D1F0F78}"/>
            </c:ext>
          </c:extLst>
        </c:ser>
        <c:ser>
          <c:idx val="3"/>
          <c:order val="3"/>
          <c:tx>
            <c:strRef>
              <c:f>'summarised trend PM'!$A$6</c:f>
              <c:strCache>
                <c:ptCount val="1"/>
                <c:pt idx="0">
                  <c:v>UK Urban Roadside</c:v>
                </c:pt>
              </c:strCache>
            </c:strRef>
          </c:tx>
          <c:spPr>
            <a:ln w="28575" cap="rnd">
              <a:solidFill>
                <a:schemeClr val="bg1">
                  <a:lumMod val="50000"/>
                </a:schemeClr>
              </a:solidFill>
              <a:round/>
            </a:ln>
            <a:effectLst/>
          </c:spPr>
          <c:marker>
            <c:symbol val="none"/>
          </c:marker>
          <c:cat>
            <c:numRef>
              <c:f>'summarised trend PM'!$B$2:$G$2</c:f>
              <c:numCache>
                <c:formatCode>General</c:formatCode>
                <c:ptCount val="6"/>
                <c:pt idx="0">
                  <c:v>2019</c:v>
                </c:pt>
                <c:pt idx="1">
                  <c:v>2020</c:v>
                </c:pt>
                <c:pt idx="2">
                  <c:v>2021</c:v>
                </c:pt>
                <c:pt idx="3">
                  <c:v>2022</c:v>
                </c:pt>
                <c:pt idx="4">
                  <c:v>2023</c:v>
                </c:pt>
                <c:pt idx="5">
                  <c:v>2024</c:v>
                </c:pt>
              </c:numCache>
            </c:numRef>
          </c:cat>
          <c:val>
            <c:numRef>
              <c:f>'summarised trend PM'!$B$6:$G$6</c:f>
              <c:numCache>
                <c:formatCode>General</c:formatCode>
                <c:ptCount val="6"/>
                <c:pt idx="0">
                  <c:v>17.9939806</c:v>
                </c:pt>
                <c:pt idx="1">
                  <c:v>16.330147060000002</c:v>
                </c:pt>
                <c:pt idx="2">
                  <c:v>15.89658736</c:v>
                </c:pt>
                <c:pt idx="3">
                  <c:v>16.903459040000001</c:v>
                </c:pt>
                <c:pt idx="4">
                  <c:v>15.266218719999999</c:v>
                </c:pt>
                <c:pt idx="5">
                  <c:v>14.657544100000001</c:v>
                </c:pt>
              </c:numCache>
            </c:numRef>
          </c:val>
          <c:smooth val="0"/>
          <c:extLst>
            <c:ext xmlns:c16="http://schemas.microsoft.com/office/drawing/2014/chart" uri="{C3380CC4-5D6E-409C-BE32-E72D297353CC}">
              <c16:uniqueId val="{00000003-6334-44F7-AA75-1FBE5D1F0F78}"/>
            </c:ext>
          </c:extLst>
        </c:ser>
        <c:ser>
          <c:idx val="4"/>
          <c:order val="4"/>
          <c:tx>
            <c:strRef>
              <c:f>'summarised trend PM'!$A$7</c:f>
              <c:strCache>
                <c:ptCount val="1"/>
                <c:pt idx="0">
                  <c:v>AQO</c:v>
                </c:pt>
              </c:strCache>
            </c:strRef>
          </c:tx>
          <c:spPr>
            <a:ln w="28575" cap="rnd">
              <a:solidFill>
                <a:srgbClr val="FF0000"/>
              </a:solidFill>
              <a:prstDash val="dash"/>
              <a:round/>
            </a:ln>
            <a:effectLst/>
          </c:spPr>
          <c:marker>
            <c:symbol val="none"/>
          </c:marker>
          <c:cat>
            <c:numRef>
              <c:f>'summarised trend PM'!$B$2:$G$2</c:f>
              <c:numCache>
                <c:formatCode>General</c:formatCode>
                <c:ptCount val="6"/>
                <c:pt idx="0">
                  <c:v>2019</c:v>
                </c:pt>
                <c:pt idx="1">
                  <c:v>2020</c:v>
                </c:pt>
                <c:pt idx="2">
                  <c:v>2021</c:v>
                </c:pt>
                <c:pt idx="3">
                  <c:v>2022</c:v>
                </c:pt>
                <c:pt idx="4">
                  <c:v>2023</c:v>
                </c:pt>
                <c:pt idx="5">
                  <c:v>2024</c:v>
                </c:pt>
              </c:numCache>
            </c:numRef>
          </c:cat>
          <c:val>
            <c:numRef>
              <c:f>'summarised trend PM'!$B$7:$G$7</c:f>
              <c:numCache>
                <c:formatCode>General</c:formatCode>
                <c:ptCount val="6"/>
                <c:pt idx="0">
                  <c:v>40</c:v>
                </c:pt>
                <c:pt idx="1">
                  <c:v>40</c:v>
                </c:pt>
                <c:pt idx="2">
                  <c:v>40</c:v>
                </c:pt>
                <c:pt idx="3">
                  <c:v>40</c:v>
                </c:pt>
                <c:pt idx="4">
                  <c:v>40</c:v>
                </c:pt>
                <c:pt idx="5">
                  <c:v>40</c:v>
                </c:pt>
              </c:numCache>
            </c:numRef>
          </c:val>
          <c:smooth val="0"/>
          <c:extLst>
            <c:ext xmlns:c16="http://schemas.microsoft.com/office/drawing/2014/chart" uri="{C3380CC4-5D6E-409C-BE32-E72D297353CC}">
              <c16:uniqueId val="{00000004-6334-44F7-AA75-1FBE5D1F0F78}"/>
            </c:ext>
          </c:extLst>
        </c:ser>
        <c:dLbls>
          <c:showLegendKey val="0"/>
          <c:showVal val="0"/>
          <c:showCatName val="0"/>
          <c:showSerName val="0"/>
          <c:showPercent val="0"/>
          <c:showBubbleSize val="0"/>
        </c:dLbls>
        <c:smooth val="0"/>
        <c:axId val="750678640"/>
        <c:axId val="750678160"/>
      </c:lineChart>
      <c:catAx>
        <c:axId val="750678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678160"/>
        <c:crosses val="autoZero"/>
        <c:auto val="1"/>
        <c:lblAlgn val="ctr"/>
        <c:lblOffset val="100"/>
        <c:noMultiLvlLbl val="0"/>
      </c:catAx>
      <c:valAx>
        <c:axId val="750678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1000">
                    <a:effectLst/>
                  </a:rPr>
                  <a:t>PM</a:t>
                </a:r>
                <a:r>
                  <a:rPr lang="en-IE" sz="1000" baseline="-25000">
                    <a:effectLst/>
                  </a:rPr>
                  <a:t>10</a:t>
                </a:r>
                <a:r>
                  <a:rPr lang="en-GB" sz="1000">
                    <a:effectLst/>
                  </a:rPr>
                  <a:t> concentrations (</a:t>
                </a:r>
                <a:r>
                  <a:rPr lang="en-IE" sz="1000">
                    <a:effectLst/>
                  </a:rPr>
                  <a:t>µg/m</a:t>
                </a:r>
                <a:r>
                  <a:rPr lang="en-IE" sz="1000" baseline="30000">
                    <a:effectLst/>
                  </a:rPr>
                  <a:t>3</a:t>
                </a:r>
                <a:r>
                  <a:rPr lang="en-GB" sz="1000">
                    <a:effectLst/>
                  </a:rPr>
                  <a:t>) </a:t>
                </a:r>
              </a:p>
            </c:rich>
          </c:tx>
          <c:layout>
            <c:manualLayout>
              <c:xMode val="edge"/>
              <c:yMode val="edge"/>
              <c:x val="2.8324496586521062E-2"/>
              <c:y val="0.206858478133271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067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aseline="0"/>
              <a:t>PM</a:t>
            </a:r>
            <a:r>
              <a:rPr lang="en-GB" baseline="-25000"/>
              <a:t>10</a:t>
            </a:r>
            <a:r>
              <a:rPr lang="en-GB" baseline="0"/>
              <a:t> Source Apportionment, Background Detail, St Mary's Place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3A71-42D0-99C5-F0E642BBD932}"/>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3A71-42D0-99C5-F0E642BBD932}"/>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3A71-42D0-99C5-F0E642BBD932}"/>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3A71-42D0-99C5-F0E642BBD932}"/>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5-3A71-42D0-99C5-F0E642BBD9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'PM10'!$N$15:$N$18</c:f>
              <c:strCache>
                <c:ptCount val="4"/>
                <c:pt idx="0">
                  <c:v>Road</c:v>
                </c:pt>
                <c:pt idx="1">
                  <c:v>Industry</c:v>
                </c:pt>
                <c:pt idx="2">
                  <c:v>Domestic</c:v>
                </c:pt>
                <c:pt idx="3">
                  <c:v>Other</c:v>
                </c:pt>
              </c:strCache>
            </c:strRef>
          </c:cat>
          <c:val>
            <c:numRef>
              <c:f>'PM10'!$O$15:$O$18</c:f>
              <c:numCache>
                <c:formatCode>0%</c:formatCode>
                <c:ptCount val="4"/>
                <c:pt idx="0">
                  <c:v>9.2893564876086632E-2</c:v>
                </c:pt>
                <c:pt idx="1">
                  <c:v>0.14936896548773965</c:v>
                </c:pt>
                <c:pt idx="2">
                  <c:v>0.13485898877846433</c:v>
                </c:pt>
                <c:pt idx="3">
                  <c:v>0.62287831632871316</c:v>
                </c:pt>
              </c:numCache>
            </c:numRef>
          </c:val>
          <c:extLst>
            <c:ext xmlns:c16="http://schemas.microsoft.com/office/drawing/2014/chart" uri="{C3380CC4-5D6E-409C-BE32-E72D297353CC}">
              <c16:uniqueId val="{00000008-3A71-42D0-99C5-F0E642BBD93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u="none" strike="noStrike" kern="1200" spc="0" baseline="0">
                <a:solidFill>
                  <a:sysClr val="windowText" lastClr="000000">
                    <a:lumMod val="65000"/>
                    <a:lumOff val="35000"/>
                  </a:sysClr>
                </a:solidFill>
              </a:rPr>
              <a:t>PM</a:t>
            </a:r>
            <a:r>
              <a:rPr lang="en-GB" sz="1400" b="0" i="0" u="none" strike="noStrike" kern="1200" spc="0" baseline="-25000">
                <a:solidFill>
                  <a:sysClr val="windowText" lastClr="000000">
                    <a:lumMod val="65000"/>
                    <a:lumOff val="35000"/>
                  </a:sysClr>
                </a:solidFill>
              </a:rPr>
              <a:t>2.5</a:t>
            </a:r>
            <a:r>
              <a:rPr lang="en-GB" sz="1400" b="0" i="0" u="none" strike="noStrike" kern="1200" spc="0" baseline="0">
                <a:solidFill>
                  <a:sysClr val="windowText" lastClr="000000">
                    <a:lumMod val="65000"/>
                    <a:lumOff val="35000"/>
                  </a:sysClr>
                </a:solidFill>
              </a:rPr>
              <a:t> Source Apportionment, Background Detail, St Mary's Place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8768"/>
              </a:solidFill>
              <a:ln w="19050">
                <a:solidFill>
                  <a:schemeClr val="lt1"/>
                </a:solidFill>
              </a:ln>
              <a:effectLst/>
            </c:spPr>
            <c:extLst>
              <c:ext xmlns:c16="http://schemas.microsoft.com/office/drawing/2014/chart" uri="{C3380CC4-5D6E-409C-BE32-E72D297353CC}">
                <c16:uniqueId val="{00000001-78C7-460F-8C7D-6F9724B97CFB}"/>
              </c:ext>
            </c:extLst>
          </c:dPt>
          <c:dPt>
            <c:idx val="1"/>
            <c:bubble3D val="0"/>
            <c:spPr>
              <a:solidFill>
                <a:srgbClr val="AECC53"/>
              </a:solidFill>
              <a:ln w="19050">
                <a:solidFill>
                  <a:schemeClr val="lt1"/>
                </a:solidFill>
              </a:ln>
              <a:effectLst/>
            </c:spPr>
            <c:extLst>
              <c:ext xmlns:c16="http://schemas.microsoft.com/office/drawing/2014/chart" uri="{C3380CC4-5D6E-409C-BE32-E72D297353CC}">
                <c16:uniqueId val="{00000003-78C7-460F-8C7D-6F9724B97CFB}"/>
              </c:ext>
            </c:extLst>
          </c:dPt>
          <c:dPt>
            <c:idx val="2"/>
            <c:bubble3D val="0"/>
            <c:spPr>
              <a:solidFill>
                <a:srgbClr val="00353E"/>
              </a:solidFill>
              <a:ln w="19050">
                <a:solidFill>
                  <a:schemeClr val="lt1"/>
                </a:solidFill>
              </a:ln>
              <a:effectLst/>
            </c:spPr>
            <c:extLst>
              <c:ext xmlns:c16="http://schemas.microsoft.com/office/drawing/2014/chart" uri="{C3380CC4-5D6E-409C-BE32-E72D297353CC}">
                <c16:uniqueId val="{00000005-78C7-460F-8C7D-6F9724B97CFB}"/>
              </c:ext>
            </c:extLst>
          </c:dPt>
          <c:dPt>
            <c:idx val="3"/>
            <c:bubble3D val="0"/>
            <c:spPr>
              <a:solidFill>
                <a:srgbClr val="E52713"/>
              </a:solidFill>
              <a:ln w="19050">
                <a:solidFill>
                  <a:schemeClr val="lt1"/>
                </a:solidFill>
              </a:ln>
              <a:effectLst/>
            </c:spPr>
            <c:extLst>
              <c:ext xmlns:c16="http://schemas.microsoft.com/office/drawing/2014/chart" uri="{C3380CC4-5D6E-409C-BE32-E72D297353CC}">
                <c16:uniqueId val="{00000007-78C7-460F-8C7D-6F9724B97CFB}"/>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5-78C7-460F-8C7D-6F9724B97C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'PM2.5'!$R$13:$R$16</c:f>
              <c:strCache>
                <c:ptCount val="4"/>
                <c:pt idx="0">
                  <c:v>Road</c:v>
                </c:pt>
                <c:pt idx="1">
                  <c:v>Industry</c:v>
                </c:pt>
                <c:pt idx="2">
                  <c:v>Domestic</c:v>
                </c:pt>
                <c:pt idx="3">
                  <c:v>Other</c:v>
                </c:pt>
              </c:strCache>
            </c:strRef>
          </c:cat>
          <c:val>
            <c:numRef>
              <c:f>'PM2.5'!$S$13:$S$16</c:f>
              <c:numCache>
                <c:formatCode>0%</c:formatCode>
                <c:ptCount val="4"/>
                <c:pt idx="0">
                  <c:v>9.363705768463032E-2</c:v>
                </c:pt>
                <c:pt idx="1">
                  <c:v>9.2973446258687045E-2</c:v>
                </c:pt>
                <c:pt idx="2">
                  <c:v>0.22389386787905016</c:v>
                </c:pt>
                <c:pt idx="3">
                  <c:v>0.58949562817763246</c:v>
                </c:pt>
              </c:numCache>
            </c:numRef>
          </c:val>
          <c:extLst>
            <c:ext xmlns:c16="http://schemas.microsoft.com/office/drawing/2014/chart" uri="{C3380CC4-5D6E-409C-BE32-E72D297353CC}">
              <c16:uniqueId val="{00000008-78C7-460F-8C7D-6F9724B97C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Market Street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008768"/>
              </a:solidFill>
              <a:round/>
            </a:ln>
            <a:effectLst/>
          </c:spPr>
          <c:marker>
            <c:symbol val="none"/>
          </c:marker>
          <c:cat>
            <c:numRef>
              <c:f>Figure!$A$23:$A$29</c:f>
              <c:numCache>
                <c:formatCode>General</c:formatCode>
                <c:ptCount val="7"/>
                <c:pt idx="0">
                  <c:v>2024</c:v>
                </c:pt>
                <c:pt idx="1">
                  <c:v>2025</c:v>
                </c:pt>
                <c:pt idx="2">
                  <c:v>2026</c:v>
                </c:pt>
                <c:pt idx="3">
                  <c:v>2027</c:v>
                </c:pt>
                <c:pt idx="4">
                  <c:v>2028</c:v>
                </c:pt>
                <c:pt idx="5">
                  <c:v>2029</c:v>
                </c:pt>
                <c:pt idx="6">
                  <c:v>2030</c:v>
                </c:pt>
              </c:numCache>
            </c:numRef>
          </c:cat>
          <c:val>
            <c:numRef>
              <c:f>Figure!$D$23:$D$29</c:f>
              <c:numCache>
                <c:formatCode>0%</c:formatCode>
                <c:ptCount val="7"/>
                <c:pt idx="0" formatCode="0.00%">
                  <c:v>1</c:v>
                </c:pt>
                <c:pt idx="1">
                  <c:v>0.93251646625247564</c:v>
                </c:pt>
                <c:pt idx="2">
                  <c:v>0.87625964044888893</c:v>
                </c:pt>
                <c:pt idx="3">
                  <c:v>0.82734837357499835</c:v>
                </c:pt>
                <c:pt idx="4">
                  <c:v>0.77818501044704824</c:v>
                </c:pt>
                <c:pt idx="5">
                  <c:v>0.74581711548807506</c:v>
                </c:pt>
                <c:pt idx="6">
                  <c:v>0.7148824397778335</c:v>
                </c:pt>
              </c:numCache>
            </c:numRef>
          </c:val>
          <c:smooth val="0"/>
          <c:extLst>
            <c:ext xmlns:c16="http://schemas.microsoft.com/office/drawing/2014/chart" uri="{C3380CC4-5D6E-409C-BE32-E72D297353CC}">
              <c16:uniqueId val="{00000000-D975-4BDD-AA77-B04DA357D00F}"/>
            </c:ext>
          </c:extLst>
        </c:ser>
        <c:dLbls>
          <c:showLegendKey val="0"/>
          <c:showVal val="0"/>
          <c:showCatName val="0"/>
          <c:showSerName val="0"/>
          <c:showPercent val="0"/>
          <c:showBubbleSize val="0"/>
        </c:dLbls>
        <c:smooth val="0"/>
        <c:axId val="1969386015"/>
        <c:axId val="1969387455"/>
      </c:lineChart>
      <c:catAx>
        <c:axId val="1969386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9387455"/>
        <c:crosses val="autoZero"/>
        <c:auto val="1"/>
        <c:lblAlgn val="ctr"/>
        <c:lblOffset val="100"/>
        <c:noMultiLvlLbl val="0"/>
      </c:catAx>
      <c:valAx>
        <c:axId val="1969387455"/>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 of Emissions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9386015"/>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'2024 Compliance'!$B$2</c:f>
              <c:strCache>
                <c:ptCount val="1"/>
                <c:pt idx="0">
                  <c:v>non-compliant</c:v>
                </c:pt>
              </c:strCache>
            </c:strRef>
          </c:tx>
          <c:spPr>
            <a:solidFill>
              <a:schemeClr val="accent1"/>
            </a:solidFill>
            <a:ln>
              <a:noFill/>
            </a:ln>
            <a:effectLst/>
          </c:spPr>
          <c:invertIfNegative val="0"/>
          <c:cat>
            <c:strRef>
              <c:f>'2024 Compliance'!$A$3:$A$8</c:f>
              <c:strCache>
                <c:ptCount val="6"/>
                <c:pt idx="0">
                  <c:v>Petrol Cars</c:v>
                </c:pt>
                <c:pt idx="1">
                  <c:v>Diesel Cars</c:v>
                </c:pt>
                <c:pt idx="2">
                  <c:v>Diesel LGVs</c:v>
                </c:pt>
                <c:pt idx="3">
                  <c:v>Rigid HGVs</c:v>
                </c:pt>
                <c:pt idx="4">
                  <c:v>Artic HGVs</c:v>
                </c:pt>
                <c:pt idx="5">
                  <c:v>Buses</c:v>
                </c:pt>
              </c:strCache>
            </c:strRef>
          </c:cat>
          <c:val>
            <c:numRef>
              <c:f>'2024 Compliance'!$B$3:$B$8</c:f>
              <c:numCache>
                <c:formatCode>0%</c:formatCode>
                <c:ptCount val="6"/>
                <c:pt idx="0">
                  <c:v>2.2345037876983182E-2</c:v>
                </c:pt>
                <c:pt idx="1">
                  <c:v>0.34706884237129831</c:v>
                </c:pt>
                <c:pt idx="2">
                  <c:v>0.23816960799625175</c:v>
                </c:pt>
                <c:pt idx="3">
                  <c:v>7.2426937738246502E-2</c:v>
                </c:pt>
                <c:pt idx="4">
                  <c:v>7.2426937738246502E-2</c:v>
                </c:pt>
                <c:pt idx="5">
                  <c:v>0.49856144677353059</c:v>
                </c:pt>
              </c:numCache>
            </c:numRef>
          </c:val>
          <c:extLst>
            <c:ext xmlns:c16="http://schemas.microsoft.com/office/drawing/2014/chart" uri="{C3380CC4-5D6E-409C-BE32-E72D297353CC}">
              <c16:uniqueId val="{00000000-E848-4EA9-9C7D-48CBE8575A31}"/>
            </c:ext>
          </c:extLst>
        </c:ser>
        <c:ser>
          <c:idx val="1"/>
          <c:order val="1"/>
          <c:tx>
            <c:strRef>
              <c:f>'2024 Compliance'!$C$2</c:f>
              <c:strCache>
                <c:ptCount val="1"/>
                <c:pt idx="0">
                  <c:v>compliant</c:v>
                </c:pt>
              </c:strCache>
            </c:strRef>
          </c:tx>
          <c:spPr>
            <a:solidFill>
              <a:schemeClr val="accent2"/>
            </a:solidFill>
            <a:ln>
              <a:noFill/>
            </a:ln>
            <a:effectLst/>
          </c:spPr>
          <c:invertIfNegative val="0"/>
          <c:cat>
            <c:strRef>
              <c:f>'2024 Compliance'!$A$3:$A$8</c:f>
              <c:strCache>
                <c:ptCount val="6"/>
                <c:pt idx="0">
                  <c:v>Petrol Cars</c:v>
                </c:pt>
                <c:pt idx="1">
                  <c:v>Diesel Cars</c:v>
                </c:pt>
                <c:pt idx="2">
                  <c:v>Diesel LGVs</c:v>
                </c:pt>
                <c:pt idx="3">
                  <c:v>Rigid HGVs</c:v>
                </c:pt>
                <c:pt idx="4">
                  <c:v>Artic HGVs</c:v>
                </c:pt>
                <c:pt idx="5">
                  <c:v>Buses</c:v>
                </c:pt>
              </c:strCache>
            </c:strRef>
          </c:cat>
          <c:val>
            <c:numRef>
              <c:f>'2024 Compliance'!$C$3:$C$8</c:f>
              <c:numCache>
                <c:formatCode>0%</c:formatCode>
                <c:ptCount val="6"/>
                <c:pt idx="0">
                  <c:v>0.97765496212301684</c:v>
                </c:pt>
                <c:pt idx="1">
                  <c:v>0.6529311576287018</c:v>
                </c:pt>
                <c:pt idx="2">
                  <c:v>0.76183039200374836</c:v>
                </c:pt>
                <c:pt idx="3">
                  <c:v>0.92757306226175351</c:v>
                </c:pt>
                <c:pt idx="4">
                  <c:v>0.92757306226175351</c:v>
                </c:pt>
                <c:pt idx="5">
                  <c:v>0.50143855322646935</c:v>
                </c:pt>
              </c:numCache>
            </c:numRef>
          </c:val>
          <c:extLst>
            <c:ext xmlns:c16="http://schemas.microsoft.com/office/drawing/2014/chart" uri="{C3380CC4-5D6E-409C-BE32-E72D297353CC}">
              <c16:uniqueId val="{00000001-E848-4EA9-9C7D-48CBE8575A31}"/>
            </c:ext>
          </c:extLst>
        </c:ser>
        <c:dLbls>
          <c:showLegendKey val="0"/>
          <c:showVal val="0"/>
          <c:showCatName val="0"/>
          <c:showSerName val="0"/>
          <c:showPercent val="0"/>
          <c:showBubbleSize val="0"/>
        </c:dLbls>
        <c:gapWidth val="219"/>
        <c:overlap val="-27"/>
        <c:axId val="1893301247"/>
        <c:axId val="1893299807"/>
      </c:barChart>
      <c:catAx>
        <c:axId val="18933012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Vehicle</a:t>
                </a:r>
                <a:r>
                  <a:rPr lang="en-GB" baseline="0"/>
                  <a:t> Class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299807"/>
        <c:crosses val="autoZero"/>
        <c:auto val="1"/>
        <c:lblAlgn val="ctr"/>
        <c:lblOffset val="100"/>
        <c:noMultiLvlLbl val="0"/>
      </c:catAx>
      <c:valAx>
        <c:axId val="18932998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301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Diesel Cars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'Future predictions'!$I$5</c:f>
              <c:strCache>
                <c:ptCount val="1"/>
                <c:pt idx="0">
                  <c:v>Non-compliant</c:v>
                </c:pt>
              </c:strCache>
            </c:strRef>
          </c:tx>
          <c:spPr>
            <a:solidFill>
              <a:schemeClr val="accent1"/>
            </a:solidFill>
            <a:ln>
              <a:noFill/>
            </a:ln>
            <a:effectLst/>
          </c:spPr>
          <c:invertIfNegative val="0"/>
          <c:cat>
            <c:numRef>
              <c:f>'Future predictions'!$J$4:$O$4</c:f>
              <c:numCache>
                <c:formatCode>General</c:formatCode>
                <c:ptCount val="6"/>
                <c:pt idx="0">
                  <c:v>2025</c:v>
                </c:pt>
                <c:pt idx="1">
                  <c:v>2026</c:v>
                </c:pt>
                <c:pt idx="2">
                  <c:v>2027</c:v>
                </c:pt>
                <c:pt idx="3">
                  <c:v>2028</c:v>
                </c:pt>
                <c:pt idx="4">
                  <c:v>2029</c:v>
                </c:pt>
                <c:pt idx="5">
                  <c:v>2030</c:v>
                </c:pt>
              </c:numCache>
            </c:numRef>
          </c:cat>
          <c:val>
            <c:numRef>
              <c:f>'Future predictions'!$J$5:$O$5</c:f>
              <c:numCache>
                <c:formatCode>0%</c:formatCode>
                <c:ptCount val="6"/>
                <c:pt idx="0">
                  <c:v>0.29400612588451536</c:v>
                </c:pt>
                <c:pt idx="1">
                  <c:v>0.24652789020641144</c:v>
                </c:pt>
                <c:pt idx="2">
                  <c:v>0.20408080990815239</c:v>
                </c:pt>
                <c:pt idx="3">
                  <c:v>0.16673309164234645</c:v>
                </c:pt>
                <c:pt idx="4">
                  <c:v>0.13339741757969042</c:v>
                </c:pt>
                <c:pt idx="5">
                  <c:v>0.10466631252852836</c:v>
                </c:pt>
              </c:numCache>
            </c:numRef>
          </c:val>
          <c:extLst>
            <c:ext xmlns:c16="http://schemas.microsoft.com/office/drawing/2014/chart" uri="{C3380CC4-5D6E-409C-BE32-E72D297353CC}">
              <c16:uniqueId val="{00000000-D95C-45D3-AEA3-4ECC6202FDD6}"/>
            </c:ext>
          </c:extLst>
        </c:ser>
        <c:ser>
          <c:idx val="1"/>
          <c:order val="1"/>
          <c:tx>
            <c:strRef>
              <c:f>'Future predictions'!$I$6</c:f>
              <c:strCache>
                <c:ptCount val="1"/>
                <c:pt idx="0">
                  <c:v>Compliant</c:v>
                </c:pt>
              </c:strCache>
            </c:strRef>
          </c:tx>
          <c:spPr>
            <a:solidFill>
              <a:schemeClr val="accent2"/>
            </a:solidFill>
            <a:ln>
              <a:noFill/>
            </a:ln>
            <a:effectLst/>
          </c:spPr>
          <c:invertIfNegative val="0"/>
          <c:cat>
            <c:numRef>
              <c:f>'Future predictions'!$J$4:$O$4</c:f>
              <c:numCache>
                <c:formatCode>General</c:formatCode>
                <c:ptCount val="6"/>
                <c:pt idx="0">
                  <c:v>2025</c:v>
                </c:pt>
                <c:pt idx="1">
                  <c:v>2026</c:v>
                </c:pt>
                <c:pt idx="2">
                  <c:v>2027</c:v>
                </c:pt>
                <c:pt idx="3">
                  <c:v>2028</c:v>
                </c:pt>
                <c:pt idx="4">
                  <c:v>2029</c:v>
                </c:pt>
                <c:pt idx="5">
                  <c:v>2030</c:v>
                </c:pt>
              </c:numCache>
            </c:numRef>
          </c:cat>
          <c:val>
            <c:numRef>
              <c:f>'Future predictions'!$J$6:$O$6</c:f>
              <c:numCache>
                <c:formatCode>0%</c:formatCode>
                <c:ptCount val="6"/>
                <c:pt idx="0">
                  <c:v>0.70599387411548464</c:v>
                </c:pt>
                <c:pt idx="1">
                  <c:v>0.75347210979358858</c:v>
                </c:pt>
                <c:pt idx="2">
                  <c:v>0.79591919009184786</c:v>
                </c:pt>
                <c:pt idx="3">
                  <c:v>0.8332669083576536</c:v>
                </c:pt>
                <c:pt idx="4">
                  <c:v>0.86660258242030963</c:v>
                </c:pt>
                <c:pt idx="5">
                  <c:v>0.89533368747147168</c:v>
                </c:pt>
              </c:numCache>
            </c:numRef>
          </c:val>
          <c:extLst>
            <c:ext xmlns:c16="http://schemas.microsoft.com/office/drawing/2014/chart" uri="{C3380CC4-5D6E-409C-BE32-E72D297353CC}">
              <c16:uniqueId val="{00000001-D95C-45D3-AEA3-4ECC6202FDD6}"/>
            </c:ext>
          </c:extLst>
        </c:ser>
        <c:dLbls>
          <c:showLegendKey val="0"/>
          <c:showVal val="0"/>
          <c:showCatName val="0"/>
          <c:showSerName val="0"/>
          <c:showPercent val="0"/>
          <c:showBubbleSize val="0"/>
        </c:dLbls>
        <c:gapWidth val="219"/>
        <c:overlap val="-27"/>
        <c:axId val="42521280"/>
        <c:axId val="42523680"/>
      </c:barChart>
      <c:catAx>
        <c:axId val="4252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3680"/>
        <c:crosses val="autoZero"/>
        <c:auto val="1"/>
        <c:lblAlgn val="ctr"/>
        <c:lblOffset val="100"/>
        <c:noMultiLvlLbl val="0"/>
      </c:catAx>
      <c:valAx>
        <c:axId val="4252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52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Diesel LGVs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'Future predictions'!$Q$5</c:f>
              <c:strCache>
                <c:ptCount val="1"/>
                <c:pt idx="0">
                  <c:v>Non-compliant</c:v>
                </c:pt>
              </c:strCache>
            </c:strRef>
          </c:tx>
          <c:spPr>
            <a:solidFill>
              <a:schemeClr val="accent1"/>
            </a:solidFill>
            <a:ln>
              <a:noFill/>
            </a:ln>
            <a:effectLst/>
          </c:spPr>
          <c:invertIfNegative val="0"/>
          <c:cat>
            <c:numRef>
              <c:f>'Future predictions'!$R$4:$W$4</c:f>
              <c:numCache>
                <c:formatCode>General</c:formatCode>
                <c:ptCount val="6"/>
                <c:pt idx="0">
                  <c:v>2025</c:v>
                </c:pt>
                <c:pt idx="1">
                  <c:v>2026</c:v>
                </c:pt>
                <c:pt idx="2">
                  <c:v>2027</c:v>
                </c:pt>
                <c:pt idx="3">
                  <c:v>2028</c:v>
                </c:pt>
                <c:pt idx="4">
                  <c:v>2029</c:v>
                </c:pt>
                <c:pt idx="5">
                  <c:v>2030</c:v>
                </c:pt>
              </c:numCache>
            </c:numRef>
          </c:cat>
          <c:val>
            <c:numRef>
              <c:f>'Future predictions'!$R$5:$W$5</c:f>
              <c:numCache>
                <c:formatCode>0%</c:formatCode>
                <c:ptCount val="6"/>
                <c:pt idx="0">
                  <c:v>0.19995849328582033</c:v>
                </c:pt>
                <c:pt idx="1">
                  <c:v>0.16825270786774765</c:v>
                </c:pt>
                <c:pt idx="2">
                  <c:v>0.13906740445540125</c:v>
                </c:pt>
                <c:pt idx="3">
                  <c:v>0.11217210320201809</c:v>
                </c:pt>
                <c:pt idx="4">
                  <c:v>8.8666498191444496E-2</c:v>
                </c:pt>
                <c:pt idx="5">
                  <c:v>6.7493942868109738E-2</c:v>
                </c:pt>
              </c:numCache>
            </c:numRef>
          </c:val>
          <c:extLst>
            <c:ext xmlns:c16="http://schemas.microsoft.com/office/drawing/2014/chart" uri="{C3380CC4-5D6E-409C-BE32-E72D297353CC}">
              <c16:uniqueId val="{00000000-AF77-4975-ABA5-612465A5E459}"/>
            </c:ext>
          </c:extLst>
        </c:ser>
        <c:ser>
          <c:idx val="1"/>
          <c:order val="1"/>
          <c:tx>
            <c:strRef>
              <c:f>'Future predictions'!$Q$6</c:f>
              <c:strCache>
                <c:ptCount val="1"/>
                <c:pt idx="0">
                  <c:v>Compliant</c:v>
                </c:pt>
              </c:strCache>
            </c:strRef>
          </c:tx>
          <c:spPr>
            <a:solidFill>
              <a:schemeClr val="accent2"/>
            </a:solidFill>
            <a:ln>
              <a:noFill/>
            </a:ln>
            <a:effectLst/>
          </c:spPr>
          <c:invertIfNegative val="0"/>
          <c:cat>
            <c:numRef>
              <c:f>'Future predictions'!$R$4:$W$4</c:f>
              <c:numCache>
                <c:formatCode>General</c:formatCode>
                <c:ptCount val="6"/>
                <c:pt idx="0">
                  <c:v>2025</c:v>
                </c:pt>
                <c:pt idx="1">
                  <c:v>2026</c:v>
                </c:pt>
                <c:pt idx="2">
                  <c:v>2027</c:v>
                </c:pt>
                <c:pt idx="3">
                  <c:v>2028</c:v>
                </c:pt>
                <c:pt idx="4">
                  <c:v>2029</c:v>
                </c:pt>
                <c:pt idx="5">
                  <c:v>2030</c:v>
                </c:pt>
              </c:numCache>
            </c:numRef>
          </c:cat>
          <c:val>
            <c:numRef>
              <c:f>'Future predictions'!$R$6:$W$6</c:f>
              <c:numCache>
                <c:formatCode>0%</c:formatCode>
                <c:ptCount val="6"/>
                <c:pt idx="0">
                  <c:v>0.80004150671417951</c:v>
                </c:pt>
                <c:pt idx="1">
                  <c:v>0.83174729213225229</c:v>
                </c:pt>
                <c:pt idx="2">
                  <c:v>0.86093259554459878</c:v>
                </c:pt>
                <c:pt idx="3">
                  <c:v>0.88782789679798202</c:v>
                </c:pt>
                <c:pt idx="4">
                  <c:v>0.91133350180855544</c:v>
                </c:pt>
                <c:pt idx="5">
                  <c:v>0.93250605713189028</c:v>
                </c:pt>
              </c:numCache>
            </c:numRef>
          </c:val>
          <c:extLst>
            <c:ext xmlns:c16="http://schemas.microsoft.com/office/drawing/2014/chart" uri="{C3380CC4-5D6E-409C-BE32-E72D297353CC}">
              <c16:uniqueId val="{00000001-AF77-4975-ABA5-612465A5E459}"/>
            </c:ext>
          </c:extLst>
        </c:ser>
        <c:dLbls>
          <c:showLegendKey val="0"/>
          <c:showVal val="0"/>
          <c:showCatName val="0"/>
          <c:showSerName val="0"/>
          <c:showPercent val="0"/>
          <c:showBubbleSize val="0"/>
        </c:dLbls>
        <c:gapWidth val="219"/>
        <c:overlap val="-27"/>
        <c:axId val="1391000032"/>
        <c:axId val="1391000512"/>
      </c:barChart>
      <c:catAx>
        <c:axId val="139100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000512"/>
        <c:crosses val="autoZero"/>
        <c:auto val="1"/>
        <c:lblAlgn val="ctr"/>
        <c:lblOffset val="100"/>
        <c:noMultiLvlLbl val="0"/>
      </c:catAx>
      <c:valAx>
        <c:axId val="1391000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00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'Future predictions'!$Y$5</c:f>
              <c:strCache>
                <c:ptCount val="1"/>
                <c:pt idx="0">
                  <c:v>Non-compliant</c:v>
                </c:pt>
              </c:strCache>
            </c:strRef>
          </c:tx>
          <c:spPr>
            <a:solidFill>
              <a:schemeClr val="accent1"/>
            </a:solidFill>
            <a:ln>
              <a:noFill/>
            </a:ln>
            <a:effectLst/>
          </c:spPr>
          <c:invertIfNegative val="0"/>
          <c:cat>
            <c:numRef>
              <c:f>'Future predictions'!$Z$4:$AE$4</c:f>
              <c:numCache>
                <c:formatCode>General</c:formatCode>
                <c:ptCount val="6"/>
                <c:pt idx="0">
                  <c:v>2025</c:v>
                </c:pt>
                <c:pt idx="1">
                  <c:v>2026</c:v>
                </c:pt>
                <c:pt idx="2">
                  <c:v>2027</c:v>
                </c:pt>
                <c:pt idx="3">
                  <c:v>2028</c:v>
                </c:pt>
                <c:pt idx="4">
                  <c:v>2029</c:v>
                </c:pt>
                <c:pt idx="5">
                  <c:v>2030</c:v>
                </c:pt>
              </c:numCache>
            </c:numRef>
          </c:cat>
          <c:val>
            <c:numRef>
              <c:f>'Future predictions'!$Z$5:$AE$5</c:f>
              <c:numCache>
                <c:formatCode>0%</c:formatCode>
                <c:ptCount val="6"/>
                <c:pt idx="0">
                  <c:v>0.38292545750337681</c:v>
                </c:pt>
                <c:pt idx="1">
                  <c:v>0.33909277473219568</c:v>
                </c:pt>
                <c:pt idx="2">
                  <c:v>0.30248355272007427</c:v>
                </c:pt>
                <c:pt idx="3">
                  <c:v>0.26758341273939013</c:v>
                </c:pt>
                <c:pt idx="4">
                  <c:v>0.24655345818604887</c:v>
                </c:pt>
                <c:pt idx="5">
                  <c:v>0.22746594448949836</c:v>
                </c:pt>
              </c:numCache>
            </c:numRef>
          </c:val>
          <c:extLst>
            <c:ext xmlns:c16="http://schemas.microsoft.com/office/drawing/2014/chart" uri="{C3380CC4-5D6E-409C-BE32-E72D297353CC}">
              <c16:uniqueId val="{00000000-40B5-4493-93F4-DD48C56F1236}"/>
            </c:ext>
          </c:extLst>
        </c:ser>
        <c:ser>
          <c:idx val="1"/>
          <c:order val="1"/>
          <c:tx>
            <c:strRef>
              <c:f>'Future predictions'!$Y$6</c:f>
              <c:strCache>
                <c:ptCount val="1"/>
                <c:pt idx="0">
                  <c:v>Compliant</c:v>
                </c:pt>
              </c:strCache>
            </c:strRef>
          </c:tx>
          <c:spPr>
            <a:solidFill>
              <a:schemeClr val="accent2"/>
            </a:solidFill>
            <a:ln>
              <a:noFill/>
            </a:ln>
            <a:effectLst/>
          </c:spPr>
          <c:invertIfNegative val="0"/>
          <c:cat>
            <c:numRef>
              <c:f>'Future predictions'!$Z$4:$AE$4</c:f>
              <c:numCache>
                <c:formatCode>General</c:formatCode>
                <c:ptCount val="6"/>
                <c:pt idx="0">
                  <c:v>2025</c:v>
                </c:pt>
                <c:pt idx="1">
                  <c:v>2026</c:v>
                </c:pt>
                <c:pt idx="2">
                  <c:v>2027</c:v>
                </c:pt>
                <c:pt idx="3">
                  <c:v>2028</c:v>
                </c:pt>
                <c:pt idx="4">
                  <c:v>2029</c:v>
                </c:pt>
                <c:pt idx="5">
                  <c:v>2030</c:v>
                </c:pt>
              </c:numCache>
            </c:numRef>
          </c:cat>
          <c:val>
            <c:numRef>
              <c:f>'Future predictions'!$Z$6:$AE$6</c:f>
              <c:numCache>
                <c:formatCode>0%</c:formatCode>
                <c:ptCount val="6"/>
                <c:pt idx="0">
                  <c:v>0.61707454249662319</c:v>
                </c:pt>
                <c:pt idx="1">
                  <c:v>0.66090722526780443</c:v>
                </c:pt>
                <c:pt idx="2">
                  <c:v>0.69751644727992568</c:v>
                </c:pt>
                <c:pt idx="3">
                  <c:v>0.73241658726060987</c:v>
                </c:pt>
                <c:pt idx="4">
                  <c:v>0.7534465418139511</c:v>
                </c:pt>
                <c:pt idx="5">
                  <c:v>0.77253405551050158</c:v>
                </c:pt>
              </c:numCache>
            </c:numRef>
          </c:val>
          <c:extLst>
            <c:ext xmlns:c16="http://schemas.microsoft.com/office/drawing/2014/chart" uri="{C3380CC4-5D6E-409C-BE32-E72D297353CC}">
              <c16:uniqueId val="{00000001-40B5-4493-93F4-DD48C56F1236}"/>
            </c:ext>
          </c:extLst>
        </c:ser>
        <c:dLbls>
          <c:showLegendKey val="0"/>
          <c:showVal val="0"/>
          <c:showCatName val="0"/>
          <c:showSerName val="0"/>
          <c:showPercent val="0"/>
          <c:showBubbleSize val="0"/>
        </c:dLbls>
        <c:gapWidth val="219"/>
        <c:overlap val="-27"/>
        <c:axId val="1212312160"/>
        <c:axId val="1212306880"/>
      </c:barChart>
      <c:catAx>
        <c:axId val="121231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306880"/>
        <c:crosses val="autoZero"/>
        <c:auto val="1"/>
        <c:lblAlgn val="ctr"/>
        <c:lblOffset val="100"/>
        <c:noMultiLvlLbl val="0"/>
      </c:catAx>
      <c:valAx>
        <c:axId val="1212306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31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'summarised trend PM'!$A$11</c:f>
              <c:strCache>
                <c:ptCount val="1"/>
                <c:pt idx="0">
                  <c:v>Newcastle Centre AURN</c:v>
                </c:pt>
              </c:strCache>
            </c:strRef>
          </c:tx>
          <c:spPr>
            <a:ln w="28575" cap="rnd">
              <a:solidFill>
                <a:schemeClr val="accent6">
                  <a:lumMod val="60000"/>
                  <a:lumOff val="40000"/>
                </a:schemeClr>
              </a:solidFill>
              <a:round/>
            </a:ln>
            <a:effectLst/>
          </c:spPr>
          <c:marker>
            <c:symbol val="none"/>
          </c:marker>
          <c:cat>
            <c:numRef>
              <c:f>'summarised trend PM'!$B$10:$G$10</c:f>
              <c:numCache>
                <c:formatCode>General</c:formatCode>
                <c:ptCount val="6"/>
                <c:pt idx="0">
                  <c:v>2019</c:v>
                </c:pt>
                <c:pt idx="1">
                  <c:v>2020</c:v>
                </c:pt>
                <c:pt idx="2">
                  <c:v>2021</c:v>
                </c:pt>
                <c:pt idx="3">
                  <c:v>2022</c:v>
                </c:pt>
                <c:pt idx="4">
                  <c:v>2023</c:v>
                </c:pt>
                <c:pt idx="5">
                  <c:v>2024</c:v>
                </c:pt>
              </c:numCache>
            </c:numRef>
          </c:cat>
          <c:val>
            <c:numRef>
              <c:f>'summarised trend PM'!$B$11:$G$11</c:f>
              <c:numCache>
                <c:formatCode>General</c:formatCode>
                <c:ptCount val="6"/>
                <c:pt idx="0">
                  <c:v>7.4</c:v>
                </c:pt>
                <c:pt idx="1">
                  <c:v>5.5</c:v>
                </c:pt>
                <c:pt idx="2">
                  <c:v>7.1</c:v>
                </c:pt>
                <c:pt idx="3">
                  <c:v>6.5</c:v>
                </c:pt>
                <c:pt idx="4">
                  <c:v>6.3</c:v>
                </c:pt>
                <c:pt idx="5">
                  <c:v>7.2</c:v>
                </c:pt>
              </c:numCache>
            </c:numRef>
          </c:val>
          <c:smooth val="0"/>
          <c:extLst>
            <c:ext xmlns:c16="http://schemas.microsoft.com/office/drawing/2014/chart" uri="{C3380CC4-5D6E-409C-BE32-E72D297353CC}">
              <c16:uniqueId val="{00000000-C5D1-466A-BAB8-B50A4FF2350F}"/>
            </c:ext>
          </c:extLst>
        </c:ser>
        <c:ser>
          <c:idx val="1"/>
          <c:order val="1"/>
          <c:tx>
            <c:strRef>
              <c:f>'summarised trend PM'!$A$12</c:f>
              <c:strCache>
                <c:ptCount val="1"/>
                <c:pt idx="0">
                  <c:v>UK Urban Background</c:v>
                </c:pt>
              </c:strCache>
            </c:strRef>
          </c:tx>
          <c:spPr>
            <a:ln w="28575" cap="rnd">
              <a:solidFill>
                <a:schemeClr val="bg1">
                  <a:lumMod val="75000"/>
                </a:schemeClr>
              </a:solidFill>
              <a:round/>
            </a:ln>
            <a:effectLst/>
          </c:spPr>
          <c:marker>
            <c:symbol val="none"/>
          </c:marker>
          <c:cat>
            <c:numRef>
              <c:f>'summarised trend PM'!$B$10:$G$10</c:f>
              <c:numCache>
                <c:formatCode>General</c:formatCode>
                <c:ptCount val="6"/>
                <c:pt idx="0">
                  <c:v>2019</c:v>
                </c:pt>
                <c:pt idx="1">
                  <c:v>2020</c:v>
                </c:pt>
                <c:pt idx="2">
                  <c:v>2021</c:v>
                </c:pt>
                <c:pt idx="3">
                  <c:v>2022</c:v>
                </c:pt>
                <c:pt idx="4">
                  <c:v>2023</c:v>
                </c:pt>
                <c:pt idx="5">
                  <c:v>2024</c:v>
                </c:pt>
              </c:numCache>
            </c:numRef>
          </c:cat>
          <c:val>
            <c:numRef>
              <c:f>'summarised trend PM'!$B$12:$G$12</c:f>
              <c:numCache>
                <c:formatCode>General</c:formatCode>
                <c:ptCount val="6"/>
                <c:pt idx="0">
                  <c:v>9.8807064919999998</c:v>
                </c:pt>
                <c:pt idx="1">
                  <c:v>7.8834042950000001</c:v>
                </c:pt>
                <c:pt idx="2">
                  <c:v>7.9232505980000001</c:v>
                </c:pt>
                <c:pt idx="3">
                  <c:v>8.2544961650000008</c:v>
                </c:pt>
                <c:pt idx="4">
                  <c:v>7.2343802310000003</c:v>
                </c:pt>
                <c:pt idx="5">
                  <c:v>7.1511355429999997</c:v>
                </c:pt>
              </c:numCache>
            </c:numRef>
          </c:val>
          <c:smooth val="0"/>
          <c:extLst>
            <c:ext xmlns:c16="http://schemas.microsoft.com/office/drawing/2014/chart" uri="{C3380CC4-5D6E-409C-BE32-E72D297353CC}">
              <c16:uniqueId val="{00000001-C5D1-466A-BAB8-B50A4FF2350F}"/>
            </c:ext>
          </c:extLst>
        </c:ser>
        <c:ser>
          <c:idx val="2"/>
          <c:order val="2"/>
          <c:tx>
            <c:strRef>
              <c:f>'summarised trend PM'!$A$13</c:f>
              <c:strCache>
                <c:ptCount val="1"/>
                <c:pt idx="0">
                  <c:v>Legal Target (England) 2040</c:v>
                </c:pt>
              </c:strCache>
            </c:strRef>
          </c:tx>
          <c:spPr>
            <a:ln w="28575" cap="rnd">
              <a:solidFill>
                <a:srgbClr val="FF0000"/>
              </a:solidFill>
              <a:prstDash val="dash"/>
              <a:round/>
            </a:ln>
            <a:effectLst/>
          </c:spPr>
          <c:marker>
            <c:symbol val="none"/>
          </c:marker>
          <c:cat>
            <c:numRef>
              <c:f>'summarised trend PM'!$B$10:$G$10</c:f>
              <c:numCache>
                <c:formatCode>General</c:formatCode>
                <c:ptCount val="6"/>
                <c:pt idx="0">
                  <c:v>2019</c:v>
                </c:pt>
                <c:pt idx="1">
                  <c:v>2020</c:v>
                </c:pt>
                <c:pt idx="2">
                  <c:v>2021</c:v>
                </c:pt>
                <c:pt idx="3">
                  <c:v>2022</c:v>
                </c:pt>
                <c:pt idx="4">
                  <c:v>2023</c:v>
                </c:pt>
                <c:pt idx="5">
                  <c:v>2024</c:v>
                </c:pt>
              </c:numCache>
            </c:numRef>
          </c:cat>
          <c:val>
            <c:numRef>
              <c:f>'summarised trend PM'!$B$13:$G$13</c:f>
              <c:numCache>
                <c:formatCode>General</c:formatCode>
                <c:ptCount val="6"/>
                <c:pt idx="0">
                  <c:v>10</c:v>
                </c:pt>
                <c:pt idx="1">
                  <c:v>10</c:v>
                </c:pt>
                <c:pt idx="2">
                  <c:v>10</c:v>
                </c:pt>
                <c:pt idx="3">
                  <c:v>10</c:v>
                </c:pt>
                <c:pt idx="4">
                  <c:v>10</c:v>
                </c:pt>
                <c:pt idx="5">
                  <c:v>10</c:v>
                </c:pt>
              </c:numCache>
            </c:numRef>
          </c:val>
          <c:smooth val="0"/>
          <c:extLst>
            <c:ext xmlns:c16="http://schemas.microsoft.com/office/drawing/2014/chart" uri="{C3380CC4-5D6E-409C-BE32-E72D297353CC}">
              <c16:uniqueId val="{00000002-C5D1-466A-BAB8-B50A4FF2350F}"/>
            </c:ext>
          </c:extLst>
        </c:ser>
        <c:dLbls>
          <c:showLegendKey val="0"/>
          <c:showVal val="0"/>
          <c:showCatName val="0"/>
          <c:showSerName val="0"/>
          <c:showPercent val="0"/>
          <c:showBubbleSize val="0"/>
        </c:dLbls>
        <c:smooth val="0"/>
        <c:axId val="754762256"/>
        <c:axId val="754755056"/>
      </c:lineChart>
      <c:catAx>
        <c:axId val="754762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755056"/>
        <c:crosses val="autoZero"/>
        <c:auto val="1"/>
        <c:lblAlgn val="ctr"/>
        <c:lblOffset val="100"/>
        <c:noMultiLvlLbl val="0"/>
      </c:catAx>
      <c:valAx>
        <c:axId val="75475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E" sz="1000">
                    <a:effectLst/>
                  </a:rPr>
                  <a:t>PM</a:t>
                </a:r>
                <a:r>
                  <a:rPr lang="en-IE" sz="1000" baseline="-25000">
                    <a:effectLst/>
                  </a:rPr>
                  <a:t>2.5</a:t>
                </a:r>
                <a:r>
                  <a:rPr lang="en-GB" sz="1000">
                    <a:effectLst/>
                  </a:rPr>
                  <a:t> concentrations (</a:t>
                </a:r>
                <a:r>
                  <a:rPr lang="en-IE" sz="1000">
                    <a:effectLst/>
                  </a:rPr>
                  <a:t>µg/m</a:t>
                </a:r>
                <a:r>
                  <a:rPr lang="en-IE" sz="1000" baseline="30000">
                    <a:effectLst/>
                  </a:rPr>
                  <a:t>3</a:t>
                </a:r>
                <a:r>
                  <a:rPr lang="en-GB" sz="1000">
                    <a:effectLst/>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476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Petrol Cars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Sheet1!$A$14</c:f>
              <c:strCache>
                <c:ptCount val="1"/>
                <c:pt idx="0">
                  <c:v>Newcastle ANPR</c:v>
                </c:pt>
              </c:strCache>
            </c:strRef>
          </c:tx>
          <c:spPr>
            <a:solidFill>
              <a:srgbClr val="008768"/>
            </a:solidFill>
            <a:ln>
              <a:noFill/>
            </a:ln>
            <a:effectLst/>
          </c:spPr>
          <c:invertIfNegative val="0"/>
          <c:cat>
            <c:strRef>
              <c:f>Sheet1!$B$12:$H$13</c:f>
              <c:strCache>
                <c:ptCount val="7"/>
                <c:pt idx="0">
                  <c:v>Pre Euro 1</c:v>
                </c:pt>
                <c:pt idx="1">
                  <c:v>Euro 1</c:v>
                </c:pt>
                <c:pt idx="2">
                  <c:v>Euro 2</c:v>
                </c:pt>
                <c:pt idx="3">
                  <c:v>Euro 3</c:v>
                </c:pt>
                <c:pt idx="4">
                  <c:v>Euro 4</c:v>
                </c:pt>
                <c:pt idx="5">
                  <c:v>Euro 5</c:v>
                </c:pt>
                <c:pt idx="6">
                  <c:v>Euro 6</c:v>
                </c:pt>
              </c:strCache>
            </c:strRef>
          </c:cat>
          <c:val>
            <c:numRef>
              <c:f>Sheet1!$B$14:$H$14</c:f>
              <c:numCache>
                <c:formatCode>0.0%</c:formatCode>
                <c:ptCount val="7"/>
                <c:pt idx="0">
                  <c:v>4.7644004002096334E-4</c:v>
                </c:pt>
                <c:pt idx="1">
                  <c:v>5.7172804802515598E-4</c:v>
                </c:pt>
                <c:pt idx="2">
                  <c:v>1.7628281480775645E-3</c:v>
                </c:pt>
                <c:pt idx="3">
                  <c:v>1.9534041640859499E-2</c:v>
                </c:pt>
                <c:pt idx="4">
                  <c:v>0.10896183715279432</c:v>
                </c:pt>
                <c:pt idx="5">
                  <c:v>0.20725141740911907</c:v>
                </c:pt>
                <c:pt idx="6">
                  <c:v>0.66144170756110343</c:v>
                </c:pt>
              </c:numCache>
            </c:numRef>
          </c:val>
          <c:extLst>
            <c:ext xmlns:c16="http://schemas.microsoft.com/office/drawing/2014/chart" uri="{C3380CC4-5D6E-409C-BE32-E72D297353CC}">
              <c16:uniqueId val="{00000000-E4C8-42AE-B383-02A0A2E3DC77}"/>
            </c:ext>
          </c:extLst>
        </c:ser>
        <c:ser>
          <c:idx val="1"/>
          <c:order val="1"/>
          <c:tx>
            <c:strRef>
              <c:f>Sheet1!$A$15</c:f>
              <c:strCache>
                <c:ptCount val="1"/>
                <c:pt idx="0">
                  <c:v>EFT v13.1</c:v>
                </c:pt>
              </c:strCache>
            </c:strRef>
          </c:tx>
          <c:spPr>
            <a:solidFill>
              <a:srgbClr val="AECC53"/>
            </a:solidFill>
            <a:ln>
              <a:noFill/>
            </a:ln>
            <a:effectLst/>
          </c:spPr>
          <c:invertIfNegative val="0"/>
          <c:cat>
            <c:strRef>
              <c:f>Sheet1!$B$12:$H$13</c:f>
              <c:strCache>
                <c:ptCount val="7"/>
                <c:pt idx="0">
                  <c:v>Pre Euro 1</c:v>
                </c:pt>
                <c:pt idx="1">
                  <c:v>Euro 1</c:v>
                </c:pt>
                <c:pt idx="2">
                  <c:v>Euro 2</c:v>
                </c:pt>
                <c:pt idx="3">
                  <c:v>Euro 3</c:v>
                </c:pt>
                <c:pt idx="4">
                  <c:v>Euro 4</c:v>
                </c:pt>
                <c:pt idx="5">
                  <c:v>Euro 5</c:v>
                </c:pt>
                <c:pt idx="6">
                  <c:v>Euro 6</c:v>
                </c:pt>
              </c:strCache>
            </c:strRef>
          </c:cat>
          <c:val>
            <c:numRef>
              <c:f>Sheet1!$B$15:$H$15</c:f>
              <c:numCache>
                <c:formatCode>0.0%</c:formatCode>
                <c:ptCount val="7"/>
                <c:pt idx="0">
                  <c:v>0</c:v>
                </c:pt>
                <c:pt idx="1">
                  <c:v>0</c:v>
                </c:pt>
                <c:pt idx="2">
                  <c:v>7.5091016008172612E-4</c:v>
                </c:pt>
                <c:pt idx="3">
                  <c:v>2.0523680298546922E-2</c:v>
                </c:pt>
                <c:pt idx="4">
                  <c:v>9.4944222556919117E-2</c:v>
                </c:pt>
                <c:pt idx="5">
                  <c:v>0.21560824355863092</c:v>
                </c:pt>
                <c:pt idx="6">
                  <c:v>0.66817294342582134</c:v>
                </c:pt>
              </c:numCache>
            </c:numRef>
          </c:val>
          <c:extLst>
            <c:ext xmlns:c16="http://schemas.microsoft.com/office/drawing/2014/chart" uri="{C3380CC4-5D6E-409C-BE32-E72D297353CC}">
              <c16:uniqueId val="{00000001-E4C8-42AE-B383-02A0A2E3DC77}"/>
            </c:ext>
          </c:extLst>
        </c:ser>
        <c:dLbls>
          <c:showLegendKey val="0"/>
          <c:showVal val="0"/>
          <c:showCatName val="0"/>
          <c:showSerName val="0"/>
          <c:showPercent val="0"/>
          <c:showBubbleSize val="0"/>
        </c:dLbls>
        <c:gapWidth val="219"/>
        <c:overlap val="-27"/>
        <c:axId val="1199511231"/>
        <c:axId val="1199517951"/>
      </c:barChart>
      <c:catAx>
        <c:axId val="119951123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a:t>
                </a:r>
                <a:r>
                  <a:rPr lang="en-GB" baseline="0"/>
                  <a:t> Classification</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517951"/>
        <c:crosses val="autoZero"/>
        <c:auto val="1"/>
        <c:lblAlgn val="ctr"/>
        <c:lblOffset val="100"/>
        <c:noMultiLvlLbl val="0"/>
      </c:catAx>
      <c:valAx>
        <c:axId val="11995179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511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Diesel Cars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Sheet1!$A$19</c:f>
              <c:strCache>
                <c:ptCount val="1"/>
                <c:pt idx="0">
                  <c:v>Newcastle ANPR</c:v>
                </c:pt>
              </c:strCache>
            </c:strRef>
          </c:tx>
          <c:spPr>
            <a:solidFill>
              <a:srgbClr val="008768"/>
            </a:solidFill>
            <a:ln>
              <a:noFill/>
            </a:ln>
            <a:effectLst/>
          </c:spPr>
          <c:invertIfNegative val="0"/>
          <c:cat>
            <c:strRef>
              <c:f>Sheet1!$B$17:$H$18</c:f>
              <c:strCache>
                <c:ptCount val="7"/>
                <c:pt idx="0">
                  <c:v>Pre Euro 1</c:v>
                </c:pt>
                <c:pt idx="1">
                  <c:v>Euro 1</c:v>
                </c:pt>
                <c:pt idx="2">
                  <c:v>Euro 2</c:v>
                </c:pt>
                <c:pt idx="3">
                  <c:v>Euro 3</c:v>
                </c:pt>
                <c:pt idx="4">
                  <c:v>Euro 4</c:v>
                </c:pt>
                <c:pt idx="5">
                  <c:v>Euro 5</c:v>
                </c:pt>
                <c:pt idx="6">
                  <c:v>Euro 6</c:v>
                </c:pt>
              </c:strCache>
            </c:strRef>
          </c:cat>
          <c:val>
            <c:numRef>
              <c:f>Sheet1!$B$19:$H$19</c:f>
              <c:numCache>
                <c:formatCode>0.0%</c:formatCode>
                <c:ptCount val="7"/>
                <c:pt idx="0">
                  <c:v>1.0988407230371958E-4</c:v>
                </c:pt>
                <c:pt idx="1">
                  <c:v>3.845942530630185E-4</c:v>
                </c:pt>
                <c:pt idx="2">
                  <c:v>2.1976814460743916E-4</c:v>
                </c:pt>
                <c:pt idx="3">
                  <c:v>1.0988407230371958E-2</c:v>
                </c:pt>
                <c:pt idx="4">
                  <c:v>7.3292676226580963E-2</c:v>
                </c:pt>
                <c:pt idx="5">
                  <c:v>0.26207351244437121</c:v>
                </c:pt>
                <c:pt idx="6">
                  <c:v>0.6529311576287018</c:v>
                </c:pt>
              </c:numCache>
            </c:numRef>
          </c:val>
          <c:extLst>
            <c:ext xmlns:c16="http://schemas.microsoft.com/office/drawing/2014/chart" uri="{C3380CC4-5D6E-409C-BE32-E72D297353CC}">
              <c16:uniqueId val="{00000000-FB96-4745-8AF4-E37444C1AC32}"/>
            </c:ext>
          </c:extLst>
        </c:ser>
        <c:ser>
          <c:idx val="1"/>
          <c:order val="1"/>
          <c:tx>
            <c:strRef>
              <c:f>Sheet1!$A$20</c:f>
              <c:strCache>
                <c:ptCount val="1"/>
                <c:pt idx="0">
                  <c:v>EFT v13.1</c:v>
                </c:pt>
              </c:strCache>
            </c:strRef>
          </c:tx>
          <c:spPr>
            <a:solidFill>
              <a:srgbClr val="AECC53"/>
            </a:solidFill>
            <a:ln>
              <a:noFill/>
            </a:ln>
            <a:effectLst/>
          </c:spPr>
          <c:invertIfNegative val="0"/>
          <c:cat>
            <c:strRef>
              <c:f>Sheet1!$B$17:$H$18</c:f>
              <c:strCache>
                <c:ptCount val="7"/>
                <c:pt idx="0">
                  <c:v>Pre Euro 1</c:v>
                </c:pt>
                <c:pt idx="1">
                  <c:v>Euro 1</c:v>
                </c:pt>
                <c:pt idx="2">
                  <c:v>Euro 2</c:v>
                </c:pt>
                <c:pt idx="3">
                  <c:v>Euro 3</c:v>
                </c:pt>
                <c:pt idx="4">
                  <c:v>Euro 4</c:v>
                </c:pt>
                <c:pt idx="5">
                  <c:v>Euro 5</c:v>
                </c:pt>
                <c:pt idx="6">
                  <c:v>Euro 6</c:v>
                </c:pt>
              </c:strCache>
            </c:strRef>
          </c:cat>
          <c:val>
            <c:numRef>
              <c:f>Sheet1!$B$20:$H$20</c:f>
              <c:numCache>
                <c:formatCode>0.0%</c:formatCode>
                <c:ptCount val="7"/>
                <c:pt idx="0">
                  <c:v>0</c:v>
                </c:pt>
                <c:pt idx="1">
                  <c:v>0</c:v>
                </c:pt>
                <c:pt idx="2">
                  <c:v>3.0258368864534733E-4</c:v>
                </c:pt>
                <c:pt idx="3">
                  <c:v>1.4425277089582016E-2</c:v>
                </c:pt>
                <c:pt idx="4">
                  <c:v>9.7265961097129219E-2</c:v>
                </c:pt>
                <c:pt idx="5">
                  <c:v>0.33796121043261435</c:v>
                </c:pt>
                <c:pt idx="6">
                  <c:v>0.55004496769202904</c:v>
                </c:pt>
              </c:numCache>
            </c:numRef>
          </c:val>
          <c:extLst>
            <c:ext xmlns:c16="http://schemas.microsoft.com/office/drawing/2014/chart" uri="{C3380CC4-5D6E-409C-BE32-E72D297353CC}">
              <c16:uniqueId val="{00000001-FB96-4745-8AF4-E37444C1AC32}"/>
            </c:ext>
          </c:extLst>
        </c:ser>
        <c:dLbls>
          <c:showLegendKey val="0"/>
          <c:showVal val="0"/>
          <c:showCatName val="0"/>
          <c:showSerName val="0"/>
          <c:showPercent val="0"/>
          <c:showBubbleSize val="0"/>
        </c:dLbls>
        <c:gapWidth val="219"/>
        <c:overlap val="-27"/>
        <c:axId val="1199591871"/>
        <c:axId val="1199594271"/>
      </c:barChart>
      <c:catAx>
        <c:axId val="11995918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594271"/>
        <c:crosses val="autoZero"/>
        <c:auto val="1"/>
        <c:lblAlgn val="ctr"/>
        <c:lblOffset val="100"/>
        <c:noMultiLvlLbl val="0"/>
      </c:catAx>
      <c:valAx>
        <c:axId val="1199594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59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Hybrid</a:t>
            </a:r>
            <a:r>
              <a:rPr lang="en-GB" baseline="0"/>
              <a:t> Petrol</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Sheet1!$A$24</c:f>
              <c:strCache>
                <c:ptCount val="1"/>
                <c:pt idx="0">
                  <c:v>Newcastle ANPR</c:v>
                </c:pt>
              </c:strCache>
            </c:strRef>
          </c:tx>
          <c:spPr>
            <a:solidFill>
              <a:srgbClr val="008768"/>
            </a:solidFill>
            <a:ln>
              <a:noFill/>
            </a:ln>
            <a:effectLst/>
          </c:spPr>
          <c:invertIfNegative val="0"/>
          <c:cat>
            <c:strRef>
              <c:f>Sheet1!$B$22:$H$23</c:f>
              <c:strCache>
                <c:ptCount val="7"/>
                <c:pt idx="0">
                  <c:v>Pre Euro 1</c:v>
                </c:pt>
                <c:pt idx="1">
                  <c:v>Euro 1</c:v>
                </c:pt>
                <c:pt idx="2">
                  <c:v>Euro 2</c:v>
                </c:pt>
                <c:pt idx="3">
                  <c:v>Euro 3</c:v>
                </c:pt>
                <c:pt idx="4">
                  <c:v>Euro 4</c:v>
                </c:pt>
                <c:pt idx="5">
                  <c:v>Euro 5</c:v>
                </c:pt>
                <c:pt idx="6">
                  <c:v>Euro 6</c:v>
                </c:pt>
              </c:strCache>
            </c:strRef>
          </c:cat>
          <c:val>
            <c:numRef>
              <c:f>Sheet1!$B$24:$H$24</c:f>
              <c:numCache>
                <c:formatCode>0.0%</c:formatCode>
                <c:ptCount val="7"/>
                <c:pt idx="0">
                  <c:v>0</c:v>
                </c:pt>
                <c:pt idx="1">
                  <c:v>0</c:v>
                </c:pt>
                <c:pt idx="2">
                  <c:v>0</c:v>
                </c:pt>
                <c:pt idx="3">
                  <c:v>0</c:v>
                </c:pt>
                <c:pt idx="4">
                  <c:v>2.2680055401662048E-2</c:v>
                </c:pt>
                <c:pt idx="5">
                  <c:v>4.8995844875346257E-2</c:v>
                </c:pt>
                <c:pt idx="6">
                  <c:v>0.92832409972299168</c:v>
                </c:pt>
              </c:numCache>
            </c:numRef>
          </c:val>
          <c:extLst>
            <c:ext xmlns:c16="http://schemas.microsoft.com/office/drawing/2014/chart" uri="{C3380CC4-5D6E-409C-BE32-E72D297353CC}">
              <c16:uniqueId val="{00000000-4569-4EE2-B497-3FEDF36D8D1D}"/>
            </c:ext>
          </c:extLst>
        </c:ser>
        <c:ser>
          <c:idx val="1"/>
          <c:order val="1"/>
          <c:tx>
            <c:strRef>
              <c:f>Sheet1!$A$25</c:f>
              <c:strCache>
                <c:ptCount val="1"/>
                <c:pt idx="0">
                  <c:v>EFT v13.1</c:v>
                </c:pt>
              </c:strCache>
            </c:strRef>
          </c:tx>
          <c:spPr>
            <a:solidFill>
              <a:srgbClr val="AECC53"/>
            </a:solidFill>
            <a:ln>
              <a:noFill/>
            </a:ln>
            <a:effectLst/>
          </c:spPr>
          <c:invertIfNegative val="0"/>
          <c:cat>
            <c:strRef>
              <c:f>Sheet1!$B$22:$H$23</c:f>
              <c:strCache>
                <c:ptCount val="7"/>
                <c:pt idx="0">
                  <c:v>Pre Euro 1</c:v>
                </c:pt>
                <c:pt idx="1">
                  <c:v>Euro 1</c:v>
                </c:pt>
                <c:pt idx="2">
                  <c:v>Euro 2</c:v>
                </c:pt>
                <c:pt idx="3">
                  <c:v>Euro 3</c:v>
                </c:pt>
                <c:pt idx="4">
                  <c:v>Euro 4</c:v>
                </c:pt>
                <c:pt idx="5">
                  <c:v>Euro 5</c:v>
                </c:pt>
                <c:pt idx="6">
                  <c:v>Euro 6</c:v>
                </c:pt>
              </c:strCache>
            </c:strRef>
          </c:cat>
          <c:val>
            <c:numRef>
              <c:f>Sheet1!$B$25:$H$25</c:f>
              <c:numCache>
                <c:formatCode>0.0%</c:formatCode>
                <c:ptCount val="7"/>
                <c:pt idx="0">
                  <c:v>0</c:v>
                </c:pt>
                <c:pt idx="1">
                  <c:v>0</c:v>
                </c:pt>
                <c:pt idx="2">
                  <c:v>0</c:v>
                </c:pt>
                <c:pt idx="3">
                  <c:v>3.52362757959232E-4</c:v>
                </c:pt>
                <c:pt idx="4">
                  <c:v>1.2878446231469007E-2</c:v>
                </c:pt>
                <c:pt idx="5">
                  <c:v>5.7362237892161057E-2</c:v>
                </c:pt>
                <c:pt idx="6">
                  <c:v>0.92940695311841082</c:v>
                </c:pt>
              </c:numCache>
            </c:numRef>
          </c:val>
          <c:extLst>
            <c:ext xmlns:c16="http://schemas.microsoft.com/office/drawing/2014/chart" uri="{C3380CC4-5D6E-409C-BE32-E72D297353CC}">
              <c16:uniqueId val="{00000001-4569-4EE2-B497-3FEDF36D8D1D}"/>
            </c:ext>
          </c:extLst>
        </c:ser>
        <c:dLbls>
          <c:showLegendKey val="0"/>
          <c:showVal val="0"/>
          <c:showCatName val="0"/>
          <c:showSerName val="0"/>
          <c:showPercent val="0"/>
          <c:showBubbleSize val="0"/>
        </c:dLbls>
        <c:gapWidth val="219"/>
        <c:overlap val="-27"/>
        <c:axId val="1319294687"/>
        <c:axId val="1319300447"/>
      </c:barChart>
      <c:catAx>
        <c:axId val="13192946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a:t>
                </a:r>
                <a:r>
                  <a:rPr lang="en-GB" baseline="0"/>
                  <a:t> Classification</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300447"/>
        <c:crosses val="autoZero"/>
        <c:auto val="1"/>
        <c:lblAlgn val="ctr"/>
        <c:lblOffset val="100"/>
        <c:noMultiLvlLbl val="0"/>
      </c:catAx>
      <c:valAx>
        <c:axId val="13193004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9294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Hybrid Diesel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Sheet1!$A$29</c:f>
              <c:strCache>
                <c:ptCount val="1"/>
                <c:pt idx="0">
                  <c:v>Newcastle ANPR</c:v>
                </c:pt>
              </c:strCache>
            </c:strRef>
          </c:tx>
          <c:spPr>
            <a:solidFill>
              <a:srgbClr val="008768"/>
            </a:solidFill>
            <a:ln>
              <a:noFill/>
            </a:ln>
            <a:effectLst/>
          </c:spPr>
          <c:invertIfNegative val="0"/>
          <c:cat>
            <c:strRef>
              <c:f>Sheet1!$B$27:$H$28</c:f>
              <c:strCache>
                <c:ptCount val="7"/>
                <c:pt idx="0">
                  <c:v>Pre Euro 1</c:v>
                </c:pt>
                <c:pt idx="1">
                  <c:v>Euro 1</c:v>
                </c:pt>
                <c:pt idx="2">
                  <c:v>Euro 2</c:v>
                </c:pt>
                <c:pt idx="3">
                  <c:v>Euro 3</c:v>
                </c:pt>
                <c:pt idx="4">
                  <c:v>Euro 4</c:v>
                </c:pt>
                <c:pt idx="5">
                  <c:v>Euro 5</c:v>
                </c:pt>
                <c:pt idx="6">
                  <c:v>Euro 6</c:v>
                </c:pt>
              </c:strCache>
            </c:strRef>
          </c:cat>
          <c:val>
            <c:numRef>
              <c:f>Sheet1!$B$29:$H$29</c:f>
              <c:numCache>
                <c:formatCode>0.0%</c:formatCode>
                <c:ptCount val="7"/>
                <c:pt idx="0">
                  <c:v>0</c:v>
                </c:pt>
                <c:pt idx="1">
                  <c:v>0</c:v>
                </c:pt>
                <c:pt idx="2">
                  <c:v>0</c:v>
                </c:pt>
                <c:pt idx="3">
                  <c:v>0</c:v>
                </c:pt>
                <c:pt idx="4">
                  <c:v>0</c:v>
                </c:pt>
                <c:pt idx="5">
                  <c:v>4.1841004184100417E-2</c:v>
                </c:pt>
                <c:pt idx="6">
                  <c:v>0.95815899581589958</c:v>
                </c:pt>
              </c:numCache>
            </c:numRef>
          </c:val>
          <c:extLst>
            <c:ext xmlns:c16="http://schemas.microsoft.com/office/drawing/2014/chart" uri="{C3380CC4-5D6E-409C-BE32-E72D297353CC}">
              <c16:uniqueId val="{00000000-C7BD-4512-83AD-DF3B0B5E6986}"/>
            </c:ext>
          </c:extLst>
        </c:ser>
        <c:ser>
          <c:idx val="1"/>
          <c:order val="1"/>
          <c:tx>
            <c:strRef>
              <c:f>Sheet1!$A$30</c:f>
              <c:strCache>
                <c:ptCount val="1"/>
                <c:pt idx="0">
                  <c:v>EFT v13.1</c:v>
                </c:pt>
              </c:strCache>
            </c:strRef>
          </c:tx>
          <c:spPr>
            <a:solidFill>
              <a:srgbClr val="AECC53"/>
            </a:solidFill>
            <a:ln>
              <a:noFill/>
            </a:ln>
            <a:effectLst/>
          </c:spPr>
          <c:invertIfNegative val="0"/>
          <c:cat>
            <c:strRef>
              <c:f>Sheet1!$B$27:$H$28</c:f>
              <c:strCache>
                <c:ptCount val="7"/>
                <c:pt idx="0">
                  <c:v>Pre Euro 1</c:v>
                </c:pt>
                <c:pt idx="1">
                  <c:v>Euro 1</c:v>
                </c:pt>
                <c:pt idx="2">
                  <c:v>Euro 2</c:v>
                </c:pt>
                <c:pt idx="3">
                  <c:v>Euro 3</c:v>
                </c:pt>
                <c:pt idx="4">
                  <c:v>Euro 4</c:v>
                </c:pt>
                <c:pt idx="5">
                  <c:v>Euro 5</c:v>
                </c:pt>
                <c:pt idx="6">
                  <c:v>Euro 6</c:v>
                </c:pt>
              </c:strCache>
            </c:strRef>
          </c:cat>
          <c:val>
            <c:numRef>
              <c:f>Sheet1!$B$30:$H$30</c:f>
              <c:numCache>
                <c:formatCode>0.0%</c:formatCode>
                <c:ptCount val="7"/>
                <c:pt idx="0">
                  <c:v>0</c:v>
                </c:pt>
                <c:pt idx="1">
                  <c:v>0</c:v>
                </c:pt>
                <c:pt idx="2">
                  <c:v>0</c:v>
                </c:pt>
                <c:pt idx="3">
                  <c:v>7.6602451603700184E-7</c:v>
                </c:pt>
                <c:pt idx="4">
                  <c:v>3.3697294071425928E-5</c:v>
                </c:pt>
                <c:pt idx="5">
                  <c:v>1.2116106844476081E-2</c:v>
                </c:pt>
                <c:pt idx="6">
                  <c:v>0.98784942983693658</c:v>
                </c:pt>
              </c:numCache>
            </c:numRef>
          </c:val>
          <c:extLst>
            <c:ext xmlns:c16="http://schemas.microsoft.com/office/drawing/2014/chart" uri="{C3380CC4-5D6E-409C-BE32-E72D297353CC}">
              <c16:uniqueId val="{00000001-C7BD-4512-83AD-DF3B0B5E6986}"/>
            </c:ext>
          </c:extLst>
        </c:ser>
        <c:dLbls>
          <c:showLegendKey val="0"/>
          <c:showVal val="0"/>
          <c:showCatName val="0"/>
          <c:showSerName val="0"/>
          <c:showPercent val="0"/>
          <c:showBubbleSize val="0"/>
        </c:dLbls>
        <c:gapWidth val="219"/>
        <c:overlap val="-27"/>
        <c:axId val="1205096351"/>
        <c:axId val="1205080511"/>
      </c:barChart>
      <c:catAx>
        <c:axId val="12050963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080511"/>
        <c:crosses val="autoZero"/>
        <c:auto val="1"/>
        <c:lblAlgn val="ctr"/>
        <c:lblOffset val="100"/>
        <c:noMultiLvlLbl val="0"/>
      </c:catAx>
      <c:valAx>
        <c:axId val="120508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096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Diesel LGVs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Sheet1!$A$34</c:f>
              <c:strCache>
                <c:ptCount val="1"/>
                <c:pt idx="0">
                  <c:v>Newcastle ANPR</c:v>
                </c:pt>
              </c:strCache>
            </c:strRef>
          </c:tx>
          <c:spPr>
            <a:solidFill>
              <a:srgbClr val="008768"/>
            </a:solidFill>
            <a:ln>
              <a:noFill/>
            </a:ln>
            <a:effectLst/>
          </c:spPr>
          <c:invertIfNegative val="0"/>
          <c:cat>
            <c:strRef>
              <c:f>Sheet1!$B$33:$H$33</c:f>
              <c:strCache>
                <c:ptCount val="7"/>
                <c:pt idx="0">
                  <c:v>Pre Euro 1</c:v>
                </c:pt>
                <c:pt idx="1">
                  <c:v>Euro 1</c:v>
                </c:pt>
                <c:pt idx="2">
                  <c:v>Euro 2</c:v>
                </c:pt>
                <c:pt idx="3">
                  <c:v>Euro 3</c:v>
                </c:pt>
                <c:pt idx="4">
                  <c:v>Euro 4</c:v>
                </c:pt>
                <c:pt idx="5">
                  <c:v>Euro 5</c:v>
                </c:pt>
                <c:pt idx="6">
                  <c:v>Euro 6</c:v>
                </c:pt>
              </c:strCache>
            </c:strRef>
          </c:cat>
          <c:val>
            <c:numRef>
              <c:f>Sheet1!$B$34:$H$34</c:f>
              <c:numCache>
                <c:formatCode>0.0%</c:formatCode>
                <c:ptCount val="7"/>
                <c:pt idx="0">
                  <c:v>4.6853037638606906E-4</c:v>
                </c:pt>
                <c:pt idx="1">
                  <c:v>3.1235358425737937E-4</c:v>
                </c:pt>
                <c:pt idx="2">
                  <c:v>0</c:v>
                </c:pt>
                <c:pt idx="3">
                  <c:v>2.967359050445104E-3</c:v>
                </c:pt>
                <c:pt idx="4">
                  <c:v>5.4505700452912698E-2</c:v>
                </c:pt>
                <c:pt idx="5">
                  <c:v>0.1799156645322505</c:v>
                </c:pt>
                <c:pt idx="6">
                  <c:v>0.76183039200374836</c:v>
                </c:pt>
              </c:numCache>
            </c:numRef>
          </c:val>
          <c:extLst>
            <c:ext xmlns:c16="http://schemas.microsoft.com/office/drawing/2014/chart" uri="{C3380CC4-5D6E-409C-BE32-E72D297353CC}">
              <c16:uniqueId val="{00000000-1AFC-4730-B2E2-9A39BD7027EA}"/>
            </c:ext>
          </c:extLst>
        </c:ser>
        <c:ser>
          <c:idx val="1"/>
          <c:order val="1"/>
          <c:tx>
            <c:strRef>
              <c:f>Sheet1!$A$35</c:f>
              <c:strCache>
                <c:ptCount val="1"/>
                <c:pt idx="0">
                  <c:v>EFT v13.1</c:v>
                </c:pt>
              </c:strCache>
            </c:strRef>
          </c:tx>
          <c:spPr>
            <a:solidFill>
              <a:srgbClr val="AECC53"/>
            </a:solidFill>
            <a:ln>
              <a:noFill/>
            </a:ln>
            <a:effectLst/>
          </c:spPr>
          <c:invertIfNegative val="0"/>
          <c:cat>
            <c:strRef>
              <c:f>Sheet1!$B$33:$H$33</c:f>
              <c:strCache>
                <c:ptCount val="7"/>
                <c:pt idx="0">
                  <c:v>Pre Euro 1</c:v>
                </c:pt>
                <c:pt idx="1">
                  <c:v>Euro 1</c:v>
                </c:pt>
                <c:pt idx="2">
                  <c:v>Euro 2</c:v>
                </c:pt>
                <c:pt idx="3">
                  <c:v>Euro 3</c:v>
                </c:pt>
                <c:pt idx="4">
                  <c:v>Euro 4</c:v>
                </c:pt>
                <c:pt idx="5">
                  <c:v>Euro 5</c:v>
                </c:pt>
                <c:pt idx="6">
                  <c:v>Euro 6</c:v>
                </c:pt>
              </c:strCache>
            </c:strRef>
          </c:cat>
          <c:val>
            <c:numRef>
              <c:f>Sheet1!$B$35:$H$35</c:f>
              <c:numCache>
                <c:formatCode>0.0%</c:formatCode>
                <c:ptCount val="7"/>
                <c:pt idx="0">
                  <c:v>0</c:v>
                </c:pt>
                <c:pt idx="1">
                  <c:v>0</c:v>
                </c:pt>
                <c:pt idx="2">
                  <c:v>2.2283673417346338E-3</c:v>
                </c:pt>
                <c:pt idx="3">
                  <c:v>1.2003046193373421E-2</c:v>
                </c:pt>
                <c:pt idx="4">
                  <c:v>6.1713578300146607E-2</c:v>
                </c:pt>
                <c:pt idx="5">
                  <c:v>0.17554129134374782</c:v>
                </c:pt>
                <c:pt idx="6">
                  <c:v>0.74851371682099743</c:v>
                </c:pt>
              </c:numCache>
            </c:numRef>
          </c:val>
          <c:extLst>
            <c:ext xmlns:c16="http://schemas.microsoft.com/office/drawing/2014/chart" uri="{C3380CC4-5D6E-409C-BE32-E72D297353CC}">
              <c16:uniqueId val="{00000001-1AFC-4730-B2E2-9A39BD7027EA}"/>
            </c:ext>
          </c:extLst>
        </c:ser>
        <c:dLbls>
          <c:showLegendKey val="0"/>
          <c:showVal val="0"/>
          <c:showCatName val="0"/>
          <c:showSerName val="0"/>
          <c:showPercent val="0"/>
          <c:showBubbleSize val="0"/>
        </c:dLbls>
        <c:gapWidth val="219"/>
        <c:overlap val="-27"/>
        <c:axId val="1205122751"/>
        <c:axId val="1205140991"/>
      </c:barChart>
      <c:catAx>
        <c:axId val="1205122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140991"/>
        <c:crosses val="autoZero"/>
        <c:auto val="1"/>
        <c:lblAlgn val="ctr"/>
        <c:lblOffset val="100"/>
        <c:noMultiLvlLbl val="0"/>
      </c:catAx>
      <c:valAx>
        <c:axId val="1205140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12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Rigid</a:t>
            </a:r>
            <a:r>
              <a:rPr lang="en-GB" baseline="0"/>
              <a:t> HGVs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Sheet1!$A$39</c:f>
              <c:strCache>
                <c:ptCount val="1"/>
                <c:pt idx="0">
                  <c:v>Newcastle ANPR</c:v>
                </c:pt>
              </c:strCache>
            </c:strRef>
          </c:tx>
          <c:spPr>
            <a:solidFill>
              <a:srgbClr val="008768"/>
            </a:solidFill>
            <a:ln>
              <a:noFill/>
            </a:ln>
            <a:effectLst/>
          </c:spPr>
          <c:invertIfNegative val="0"/>
          <c:cat>
            <c:strRef>
              <c:f>Sheet1!$B$38:$H$38</c:f>
              <c:strCache>
                <c:ptCount val="7"/>
                <c:pt idx="0">
                  <c:v>Pre Euro I</c:v>
                </c:pt>
                <c:pt idx="1">
                  <c:v>Euro I</c:v>
                </c:pt>
                <c:pt idx="2">
                  <c:v>Euro II</c:v>
                </c:pt>
                <c:pt idx="3">
                  <c:v>Euro III</c:v>
                </c:pt>
                <c:pt idx="4">
                  <c:v>Euro IV</c:v>
                </c:pt>
                <c:pt idx="5">
                  <c:v>Euro V</c:v>
                </c:pt>
                <c:pt idx="6">
                  <c:v>Euro VI</c:v>
                </c:pt>
              </c:strCache>
            </c:strRef>
          </c:cat>
          <c:val>
            <c:numRef>
              <c:f>Sheet1!$B$39:$H$39</c:f>
              <c:numCache>
                <c:formatCode>0.0%</c:formatCode>
                <c:ptCount val="7"/>
                <c:pt idx="0">
                  <c:v>0</c:v>
                </c:pt>
                <c:pt idx="1">
                  <c:v>0</c:v>
                </c:pt>
                <c:pt idx="2">
                  <c:v>0</c:v>
                </c:pt>
                <c:pt idx="3">
                  <c:v>3.8119440914866584E-3</c:v>
                </c:pt>
                <c:pt idx="4">
                  <c:v>1.1435832274459974E-2</c:v>
                </c:pt>
                <c:pt idx="5">
                  <c:v>5.7179161372299871E-2</c:v>
                </c:pt>
                <c:pt idx="6">
                  <c:v>0.92757306226175351</c:v>
                </c:pt>
              </c:numCache>
            </c:numRef>
          </c:val>
          <c:extLst>
            <c:ext xmlns:c16="http://schemas.microsoft.com/office/drawing/2014/chart" uri="{C3380CC4-5D6E-409C-BE32-E72D297353CC}">
              <c16:uniqueId val="{00000000-E806-4CA4-9FFB-6E7F4DC0F90F}"/>
            </c:ext>
          </c:extLst>
        </c:ser>
        <c:ser>
          <c:idx val="1"/>
          <c:order val="1"/>
          <c:tx>
            <c:strRef>
              <c:f>Sheet1!$A$40</c:f>
              <c:strCache>
                <c:ptCount val="1"/>
                <c:pt idx="0">
                  <c:v>EFT v13.1</c:v>
                </c:pt>
              </c:strCache>
            </c:strRef>
          </c:tx>
          <c:spPr>
            <a:solidFill>
              <a:srgbClr val="AECC53"/>
            </a:solidFill>
            <a:ln>
              <a:noFill/>
            </a:ln>
            <a:effectLst/>
          </c:spPr>
          <c:invertIfNegative val="0"/>
          <c:cat>
            <c:strRef>
              <c:f>Sheet1!$B$38:$H$38</c:f>
              <c:strCache>
                <c:ptCount val="7"/>
                <c:pt idx="0">
                  <c:v>Pre Euro I</c:v>
                </c:pt>
                <c:pt idx="1">
                  <c:v>Euro I</c:v>
                </c:pt>
                <c:pt idx="2">
                  <c:v>Euro II</c:v>
                </c:pt>
                <c:pt idx="3">
                  <c:v>Euro III</c:v>
                </c:pt>
                <c:pt idx="4">
                  <c:v>Euro IV</c:v>
                </c:pt>
                <c:pt idx="5">
                  <c:v>Euro V</c:v>
                </c:pt>
                <c:pt idx="6">
                  <c:v>Euro VI</c:v>
                </c:pt>
              </c:strCache>
            </c:strRef>
          </c:cat>
          <c:val>
            <c:numRef>
              <c:f>Sheet1!$B$40:$H$40</c:f>
              <c:numCache>
                <c:formatCode>0.0%</c:formatCode>
                <c:ptCount val="7"/>
                <c:pt idx="0">
                  <c:v>0</c:v>
                </c:pt>
                <c:pt idx="1">
                  <c:v>0</c:v>
                </c:pt>
                <c:pt idx="2">
                  <c:v>6.0237364856531176E-3</c:v>
                </c:pt>
                <c:pt idx="3">
                  <c:v>2.5070448559706766E-2</c:v>
                </c:pt>
                <c:pt idx="4">
                  <c:v>1.8117813132094603E-2</c:v>
                </c:pt>
                <c:pt idx="5">
                  <c:v>8.1817405578824595E-2</c:v>
                </c:pt>
                <c:pt idx="6">
                  <c:v>0.86897059624372086</c:v>
                </c:pt>
              </c:numCache>
            </c:numRef>
          </c:val>
          <c:extLst>
            <c:ext xmlns:c16="http://schemas.microsoft.com/office/drawing/2014/chart" uri="{C3380CC4-5D6E-409C-BE32-E72D297353CC}">
              <c16:uniqueId val="{00000001-E806-4CA4-9FFB-6E7F4DC0F90F}"/>
            </c:ext>
          </c:extLst>
        </c:ser>
        <c:dLbls>
          <c:showLegendKey val="0"/>
          <c:showVal val="0"/>
          <c:showCatName val="0"/>
          <c:showSerName val="0"/>
          <c:showPercent val="0"/>
          <c:showBubbleSize val="0"/>
        </c:dLbls>
        <c:gapWidth val="219"/>
        <c:overlap val="-27"/>
        <c:axId val="1205127071"/>
        <c:axId val="1205135711"/>
      </c:barChart>
      <c:catAx>
        <c:axId val="120512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Euro Classification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135711"/>
        <c:crosses val="autoZero"/>
        <c:auto val="1"/>
        <c:lblAlgn val="ctr"/>
        <c:lblOffset val="100"/>
        <c:noMultiLvlLbl val="0"/>
      </c:catAx>
      <c:valAx>
        <c:axId val="1205135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Proportion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12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C8A5AA7AA30EE4F92B10ACFBBE13E76" ma:contentTypeVersion="18" ma:contentTypeDescription="Create a new document." ma:contentTypeScope="" ma:versionID="b034356bb677a9ea114c555aecf7711f">
  <xsd:schema xmlns:xsd="http://www.w3.org/2001/XMLSchema" xmlns:xs="http://www.w3.org/2001/XMLSchema" xmlns:p="http://schemas.microsoft.com/office/2006/metadata/properties" xmlns:ns2="8b2c7048-9c7f-4499-a60c-fbe5a943c49f" xmlns:ns3="7862bb3c-ea2d-4026-8a91-9c15e16d782f" targetNamespace="http://schemas.microsoft.com/office/2006/metadata/properties" ma:root="true" ma:fieldsID="04d342c99ce0e365f3242fa39ef2b78d" ns2:_="" ns3:_="">
    <xsd:import namespace="8b2c7048-9c7f-4499-a60c-fbe5a943c49f"/>
    <xsd:import namespace="7862bb3c-ea2d-4026-8a91-9c15e16d78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c7048-9c7f-4499-a60c-fbe5a943c4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58c574-80af-415f-8f56-7478d336fa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2bb3c-ea2d-4026-8a91-9c15e16d78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345989-f22f-42e7-8b2c-db7810f23481}" ma:internalName="TaxCatchAll" ma:showField="CatchAllData" ma:web="7862bb3c-ea2d-4026-8a91-9c15e16d7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862bb3c-ea2d-4026-8a91-9c15e16d782f" xsi:nil="true"/>
    <lcf76f155ced4ddcb4097134ff3c332f xmlns="8b2c7048-9c7f-4499-a60c-fbe5a943c4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08846F-E297-45FA-87C3-7F92CE380273}">
  <ds:schemaRefs>
    <ds:schemaRef ds:uri="http://schemas.openxmlformats.org/officeDocument/2006/bibliography"/>
  </ds:schemaRefs>
</ds:datastoreItem>
</file>

<file path=customXml/itemProps2.xml><?xml version="1.0" encoding="utf-8"?>
<ds:datastoreItem xmlns:ds="http://schemas.openxmlformats.org/officeDocument/2006/customXml" ds:itemID="{E289622C-6988-4500-9E8C-CFAA6EB99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c7048-9c7f-4499-a60c-fbe5a943c49f"/>
    <ds:schemaRef ds:uri="7862bb3c-ea2d-4026-8a91-9c15e16d7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EB1E2-072C-42DA-80E5-6364C4C9566B}">
  <ds:schemaRefs>
    <ds:schemaRef ds:uri="http://schemas.microsoft.com/office/2006/metadata/properties"/>
    <ds:schemaRef ds:uri="http://schemas.microsoft.com/office/infopath/2007/PartnerControls"/>
    <ds:schemaRef ds:uri="7862bb3c-ea2d-4026-8a91-9c15e16d782f"/>
    <ds:schemaRef ds:uri="8b2c7048-9c7f-4499-a60c-fbe5a943c49f"/>
  </ds:schemaRefs>
</ds:datastoreItem>
</file>

<file path=customXml/itemProps4.xml><?xml version="1.0" encoding="utf-8"?>
<ds:datastoreItem xmlns:ds="http://schemas.openxmlformats.org/officeDocument/2006/customXml" ds:itemID="{F99626B4-9214-4C90-B849-6A4C6B4D88D7}">
  <ds:schemaRefs>
    <ds:schemaRef ds:uri="http://schemas.openxmlformats.org/officeDocument/2006/bibliography"/>
  </ds:schemaRefs>
</ds:datastoreItem>
</file>

<file path=customXml/itemProps5.xml><?xml version="1.0" encoding="utf-8"?>
<ds:datastoreItem xmlns:ds="http://schemas.openxmlformats.org/officeDocument/2006/customXml" ds:itemID="{ACEC1472-D062-4F63-A508-FB894198E7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14754</Words>
  <Characters>87495</Characters>
  <Application>Microsoft Office Word</Application>
  <DocSecurity>4</DocSecurity>
  <Lines>729</Lines>
  <Paragraphs>204</Paragraphs>
  <ScaleCrop>false</ScaleCrop>
  <HeadingPairs>
    <vt:vector size="2" baseType="variant">
      <vt:variant>
        <vt:lpstr>Title</vt:lpstr>
      </vt:variant>
      <vt:variant>
        <vt:i4>1</vt:i4>
      </vt:variant>
    </vt:vector>
  </HeadingPairs>
  <TitlesOfParts>
    <vt:vector size="1" baseType="lpstr">
      <vt:lpstr/>
    </vt:vector>
  </TitlesOfParts>
  <Company>AEA Technology plc</Company>
  <LinksUpToDate>false</LinksUpToDate>
  <CharactersWithSpaces>102045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CZERSKA</dc:creator>
  <cp:keywords/>
  <cp:lastModifiedBy>Reeve, Louise</cp:lastModifiedBy>
  <cp:revision>2</cp:revision>
  <cp:lastPrinted>2023-10-31T14:01:00Z</cp:lastPrinted>
  <dcterms:created xsi:type="dcterms:W3CDTF">2026-02-16T15:49:00Z</dcterms:created>
  <dcterms:modified xsi:type="dcterms:W3CDTF">2026-02-16T15:49:00Z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39903d81-26ea-446d-9b9f-b42e2424be19_Enabled">
    <vt:lpwstr>true</vt:lpwstr>
  </property>
  <property fmtid="{D5CDD505-2E9C-101B-9397-08002B2CF9AE}" pid="4" name="MSIP_Label_39903d81-26ea-446d-9b9f-b42e2424be19_SetDate">
    <vt:lpwstr>2023-03-07T18:25:05Z</vt:lpwstr>
  </property>
  <property fmtid="{D5CDD505-2E9C-101B-9397-08002B2CF9AE}" pid="5" name="MSIP_Label_39903d81-26ea-446d-9b9f-b42e2424be19_Method">
    <vt:lpwstr>Standard</vt:lpwstr>
  </property>
  <property fmtid="{D5CDD505-2E9C-101B-9397-08002B2CF9AE}" pid="6" name="MSIP_Label_39903d81-26ea-446d-9b9f-b42e2424be19_Name">
    <vt:lpwstr>C2 Internal SWE</vt:lpwstr>
  </property>
  <property fmtid="{D5CDD505-2E9C-101B-9397-08002B2CF9AE}" pid="7" name="MSIP_Label_39903d81-26ea-446d-9b9f-b42e2424be19_SiteId">
    <vt:lpwstr>fffad414-b6a3-4f32-a9bd-42d28fc811f1</vt:lpwstr>
  </property>
  <property fmtid="{D5CDD505-2E9C-101B-9397-08002B2CF9AE}" pid="8" name="MSIP_Label_39903d81-26ea-446d-9b9f-b42e2424be19_ActionId">
    <vt:lpwstr>3045e06c-c96f-4a4c-9ec5-52cfd0ee91e6</vt:lpwstr>
  </property>
  <property fmtid="{D5CDD505-2E9C-101B-9397-08002B2CF9AE}" pid="9" name="MSIP_Label_39903d81-26ea-446d-9b9f-b42e2424be19_ContentBits">
    <vt:lpwstr>2</vt:lpwstr>
  </property>
  <property fmtid="{D5CDD505-2E9C-101B-9397-08002B2CF9AE}" pid="10" name="MediaServiceImageTags">
    <vt:lpwstr/>
  </property>
  <property fmtid="{D5CDD505-2E9C-101B-9397-08002B2CF9AE}" pid="11" name="InformationType">
    <vt:lpwstr/>
  </property>
  <property fmtid="{D5CDD505-2E9C-101B-9397-08002B2CF9AE}" pid="12" name="Distribution">
    <vt:lpwstr>9;#Internal Core Defra|836ac8df-3ab9-4c95-a1f0-07f825804935</vt:lpwstr>
  </property>
  <property fmtid="{D5CDD505-2E9C-101B-9397-08002B2CF9AE}" pid="13" name="SecurityClassification">
    <vt:lpwstr/>
  </property>
  <property fmtid="{D5CDD505-2E9C-101B-9397-08002B2CF9AE}" pid="14" name="HOCopyrightLevel">
    <vt:lpwstr>7;#Crown|69589897-2828-4761-976e-717fd8e631c9</vt:lpwstr>
  </property>
  <property fmtid="{D5CDD505-2E9C-101B-9397-08002B2CF9AE}" pid="15" name="HOGovernmentSecurityClassification">
    <vt:lpwstr>6;#Official|14c80daa-741b-422c-9722-f71693c9ede4</vt:lpwstr>
  </property>
  <property fmtid="{D5CDD505-2E9C-101B-9397-08002B2CF9AE}" pid="16" name="OrganisationalUnit">
    <vt:lpwstr>8;#Core Defra|026223dd-2e56-4615-868d-7c5bfd566810</vt:lpwstr>
  </property>
  <property fmtid="{D5CDD505-2E9C-101B-9397-08002B2CF9AE}" pid="17" name="Directorate">
    <vt:lpwstr/>
  </property>
  <property fmtid="{D5CDD505-2E9C-101B-9397-08002B2CF9AE}" pid="18" name="lcf76f155ced4ddcb4097134ff3c332f">
    <vt:lpwstr/>
  </property>
  <property fmtid="{D5CDD505-2E9C-101B-9397-08002B2CF9AE}" pid="19" name="HOSiteType">
    <vt:lpwstr>10;#Team|ff0485df-0575-416f-802f-e999165821b7</vt:lpwstr>
  </property>
  <property fmtid="{D5CDD505-2E9C-101B-9397-08002B2CF9AE}" pid="20" name="ContentTypeId">
    <vt:lpwstr>0x010100DC8A5AA7AA30EE4F92B10ACFBBE13E76</vt:lpwstr>
  </property>
  <property fmtid="{D5CDD505-2E9C-101B-9397-08002B2CF9AE}" pid="21" name="ComplianceAssetId">
    <vt:lpwstr/>
  </property>
  <property fmtid="{D5CDD505-2E9C-101B-9397-08002B2CF9AE}" pid="22" name="_ExtendedDescription">
    <vt:lpwstr/>
  </property>
  <property fmtid="{D5CDD505-2E9C-101B-9397-08002B2CF9AE}" pid="23" name="_activity">
    <vt:lpwstr>{"FileActivityType":"8","FileActivityTimeStamp":"2024-09-04T14:42:24.993Z","FileActivityUsersOnPage":[{"DisplayName":"Amelia REED","Id":"amelia.reed@bureauveritas.com"}],"FileActivityNavigationId":null}</vt:lpwstr>
  </property>
  <property fmtid="{D5CDD505-2E9C-101B-9397-08002B2CF9AE}" pid="24" name="TriggerFlowInfo">
    <vt:lpwstr/>
  </property>
</Properties>
</file>